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7" w:rsidRPr="00A77D07" w:rsidRDefault="00A77D07" w:rsidP="00A77D07">
      <w:pPr>
        <w:tabs>
          <w:tab w:val="clear" w:pos="567"/>
        </w:tabs>
        <w:spacing w:line="240" w:lineRule="auto"/>
        <w:rPr>
          <w:rFonts w:ascii="Arial" w:hAnsi="Arial" w:cs="Arial"/>
          <w:sz w:val="24"/>
          <w:szCs w:val="24"/>
        </w:rPr>
      </w:pPr>
      <w:bookmarkStart w:id="0" w:name="_GoBack"/>
      <w:bookmarkEnd w:id="0"/>
    </w:p>
    <w:p w:rsidR="00A77D07" w:rsidRPr="00A77D07" w:rsidRDefault="00A77D07" w:rsidP="00A77D07">
      <w:pPr>
        <w:tabs>
          <w:tab w:val="clear" w:pos="567"/>
        </w:tabs>
        <w:spacing w:line="240" w:lineRule="auto"/>
        <w:jc w:val="center"/>
        <w:rPr>
          <w:rFonts w:ascii="Arial" w:hAnsi="Arial" w:cs="Arial"/>
          <w:b/>
          <w:sz w:val="24"/>
          <w:szCs w:val="24"/>
          <w:u w:val="single"/>
        </w:rPr>
      </w:pPr>
      <w:r w:rsidRPr="00A77D07">
        <w:rPr>
          <w:rFonts w:ascii="Arial" w:hAnsi="Arial" w:cs="Arial"/>
          <w:b/>
          <w:sz w:val="24"/>
          <w:szCs w:val="24"/>
          <w:u w:val="single"/>
        </w:rPr>
        <w:t>SUMMARY OF PRODUCT CHARACTERISTICS</w:t>
      </w:r>
      <w:bookmarkStart w:id="1" w:name="_Hlk480881321"/>
    </w:p>
    <w:p w:rsidR="00A77D07" w:rsidRPr="00A77D07" w:rsidRDefault="00A77D07" w:rsidP="00A77D07">
      <w:pPr>
        <w:tabs>
          <w:tab w:val="clear" w:pos="567"/>
        </w:tabs>
        <w:spacing w:line="240" w:lineRule="auto"/>
        <w:jc w:val="center"/>
        <w:rPr>
          <w:rFonts w:ascii="Arial" w:hAnsi="Arial" w:cs="Arial"/>
          <w:b/>
          <w:sz w:val="24"/>
          <w:szCs w:val="24"/>
          <w:u w:val="single"/>
        </w:rPr>
      </w:pPr>
    </w:p>
    <w:p w:rsidR="00A77D07" w:rsidRPr="00A77D07" w:rsidRDefault="00A77D07" w:rsidP="00A77D07">
      <w:pPr>
        <w:tabs>
          <w:tab w:val="clear" w:pos="567"/>
        </w:tabs>
        <w:spacing w:line="240" w:lineRule="auto"/>
        <w:jc w:val="center"/>
        <w:rPr>
          <w:rFonts w:ascii="Arial" w:hAnsi="Arial" w:cs="Arial"/>
          <w:b/>
          <w:bCs/>
          <w:sz w:val="24"/>
          <w:szCs w:val="24"/>
          <w:u w:val="single"/>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bCs/>
          <w:sz w:val="24"/>
          <w:szCs w:val="24"/>
        </w:rPr>
        <w:t>1.</w:t>
      </w:r>
      <w:r w:rsidRPr="00A77D07">
        <w:rPr>
          <w:rFonts w:ascii="Arial" w:hAnsi="Arial" w:cs="Arial"/>
          <w:b/>
          <w:bCs/>
          <w:sz w:val="24"/>
          <w:szCs w:val="24"/>
        </w:rPr>
        <w:tab/>
        <w:t>NAME OF THE VETERINARY MEDICINAL PRODUCT</w:t>
      </w: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sz w:val="24"/>
          <w:szCs w:val="24"/>
        </w:rPr>
        <w:t>Trymox LA 150 mg/ml Suspension for Injection for Cattle, Sheep, Pigs, Dogs, Cats</w:t>
      </w: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sz w:val="24"/>
          <w:szCs w:val="24"/>
        </w:rPr>
        <w:t xml:space="preserve">Trymox vet </w:t>
      </w:r>
      <w:r w:rsidRPr="00A77D07">
        <w:rPr>
          <w:rFonts w:ascii="Arial" w:hAnsi="Arial" w:cs="Arial"/>
          <w:i/>
          <w:sz w:val="24"/>
          <w:szCs w:val="24"/>
        </w:rPr>
        <w:t>(FI, SE,NO)</w:t>
      </w: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sz w:val="24"/>
          <w:szCs w:val="24"/>
        </w:rPr>
        <w:t>Trymox LA (</w:t>
      </w:r>
      <w:r w:rsidRPr="00A77D07">
        <w:rPr>
          <w:rFonts w:ascii="Arial" w:hAnsi="Arial" w:cs="Arial"/>
          <w:i/>
          <w:sz w:val="24"/>
          <w:szCs w:val="24"/>
        </w:rPr>
        <w:t>EE</w:t>
      </w:r>
      <w:r w:rsidRPr="00A77D07">
        <w:rPr>
          <w:rFonts w:ascii="Arial" w:hAnsi="Arial" w:cs="Arial"/>
          <w:sz w:val="24"/>
          <w:szCs w:val="24"/>
        </w:rPr>
        <w:t>)</w:t>
      </w: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spacing w:line="240" w:lineRule="auto"/>
        <w:rPr>
          <w:rFonts w:ascii="Arial" w:hAnsi="Arial" w:cs="Arial"/>
          <w:sz w:val="24"/>
          <w:szCs w:val="24"/>
        </w:rPr>
      </w:pPr>
      <w:r w:rsidRPr="00A77D07">
        <w:rPr>
          <w:rFonts w:ascii="Arial" w:hAnsi="Arial" w:cs="Arial"/>
          <w:b/>
          <w:sz w:val="24"/>
          <w:szCs w:val="24"/>
        </w:rPr>
        <w:t>2.</w:t>
      </w:r>
      <w:r w:rsidRPr="00A77D07">
        <w:rPr>
          <w:rFonts w:ascii="Arial" w:hAnsi="Arial" w:cs="Arial"/>
          <w:b/>
          <w:sz w:val="24"/>
          <w:szCs w:val="24"/>
        </w:rPr>
        <w:tab/>
        <w:t>QUALITATIVE AND QUANTITATIVE COMPOSITION</w:t>
      </w:r>
    </w:p>
    <w:p w:rsidR="00A77D07" w:rsidRPr="00A77D07" w:rsidRDefault="00A77D07" w:rsidP="00A77D07">
      <w:pPr>
        <w:jc w:val="both"/>
        <w:rPr>
          <w:rFonts w:ascii="Arial" w:hAnsi="Arial" w:cs="Arial"/>
          <w:sz w:val="24"/>
          <w:szCs w:val="24"/>
        </w:rPr>
      </w:pPr>
    </w:p>
    <w:p w:rsidR="00A77D07" w:rsidRPr="00A77D07" w:rsidRDefault="00A77D07" w:rsidP="00A77D07">
      <w:pPr>
        <w:jc w:val="both"/>
        <w:rPr>
          <w:rFonts w:ascii="Arial" w:hAnsi="Arial" w:cs="Arial"/>
          <w:sz w:val="24"/>
          <w:szCs w:val="24"/>
        </w:rPr>
      </w:pPr>
      <w:bookmarkStart w:id="2" w:name="_Hlk526599771"/>
      <w:r w:rsidRPr="00A77D07">
        <w:rPr>
          <w:rFonts w:ascii="Arial" w:hAnsi="Arial" w:cs="Arial"/>
          <w:sz w:val="24"/>
          <w:szCs w:val="24"/>
        </w:rPr>
        <w:t>Each ml contains:</w:t>
      </w: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jc w:val="both"/>
        <w:rPr>
          <w:rFonts w:ascii="Arial" w:hAnsi="Arial" w:cs="Arial"/>
          <w:b/>
          <w:sz w:val="24"/>
          <w:szCs w:val="24"/>
        </w:rPr>
      </w:pPr>
      <w:r w:rsidRPr="00A77D07">
        <w:rPr>
          <w:rFonts w:ascii="Arial" w:hAnsi="Arial" w:cs="Arial"/>
          <w:b/>
          <w:sz w:val="24"/>
          <w:szCs w:val="24"/>
        </w:rPr>
        <w:t>Active substance:</w:t>
      </w:r>
    </w:p>
    <w:p w:rsidR="00A77D07" w:rsidRPr="00A77D07" w:rsidRDefault="00A77D07" w:rsidP="00A77D07">
      <w:pPr>
        <w:jc w:val="both"/>
        <w:rPr>
          <w:rFonts w:ascii="Arial" w:hAnsi="Arial" w:cs="Arial"/>
          <w:sz w:val="24"/>
          <w:szCs w:val="24"/>
        </w:rPr>
      </w:pPr>
    </w:p>
    <w:p w:rsidR="00A77D07" w:rsidRPr="00A77D07" w:rsidRDefault="00A77D07" w:rsidP="00A77D07">
      <w:pPr>
        <w:jc w:val="both"/>
        <w:rPr>
          <w:rFonts w:ascii="Arial" w:hAnsi="Arial" w:cs="Arial"/>
          <w:sz w:val="24"/>
          <w:szCs w:val="24"/>
        </w:rPr>
      </w:pPr>
      <w:r w:rsidRPr="00A77D07">
        <w:rPr>
          <w:rFonts w:ascii="Arial" w:hAnsi="Arial" w:cs="Arial"/>
          <w:sz w:val="24"/>
          <w:szCs w:val="24"/>
        </w:rPr>
        <w:t>Amoxicillin</w:t>
      </w:r>
      <w:r w:rsidRPr="00A77D07">
        <w:rPr>
          <w:rFonts w:ascii="Arial" w:hAnsi="Arial" w:cs="Arial"/>
          <w:sz w:val="24"/>
          <w:szCs w:val="24"/>
        </w:rPr>
        <w:tab/>
      </w:r>
      <w:r w:rsidRPr="00A77D07">
        <w:rPr>
          <w:rFonts w:ascii="Arial" w:hAnsi="Arial" w:cs="Arial"/>
          <w:sz w:val="24"/>
          <w:szCs w:val="24"/>
        </w:rPr>
        <w:tab/>
      </w:r>
      <w:r w:rsidRPr="00A77D07">
        <w:rPr>
          <w:rFonts w:ascii="Arial" w:hAnsi="Arial" w:cs="Arial"/>
          <w:sz w:val="24"/>
          <w:szCs w:val="24"/>
        </w:rPr>
        <w:tab/>
      </w:r>
      <w:r w:rsidRPr="00A77D07">
        <w:rPr>
          <w:rFonts w:ascii="Arial" w:hAnsi="Arial" w:cs="Arial"/>
          <w:sz w:val="24"/>
          <w:szCs w:val="24"/>
        </w:rPr>
        <w:tab/>
      </w:r>
      <w:r w:rsidRPr="00A77D07">
        <w:rPr>
          <w:rFonts w:ascii="Arial" w:hAnsi="Arial" w:cs="Arial"/>
          <w:sz w:val="24"/>
          <w:szCs w:val="24"/>
        </w:rPr>
        <w:tab/>
      </w:r>
      <w:r w:rsidR="00074E31">
        <w:rPr>
          <w:rFonts w:ascii="Arial" w:hAnsi="Arial" w:cs="Arial"/>
          <w:sz w:val="24"/>
          <w:szCs w:val="24"/>
        </w:rPr>
        <w:t xml:space="preserve">     </w:t>
      </w:r>
      <w:r w:rsidRPr="00A77D07">
        <w:rPr>
          <w:rFonts w:ascii="Arial" w:hAnsi="Arial" w:cs="Arial"/>
          <w:sz w:val="24"/>
          <w:szCs w:val="24"/>
        </w:rPr>
        <w:t xml:space="preserve">150 mg </w:t>
      </w:r>
    </w:p>
    <w:p w:rsidR="00A77D07" w:rsidRPr="00A77D07" w:rsidRDefault="00A77D07" w:rsidP="00A77D07">
      <w:pPr>
        <w:jc w:val="both"/>
        <w:rPr>
          <w:rFonts w:ascii="Arial" w:hAnsi="Arial" w:cs="Arial"/>
          <w:sz w:val="24"/>
          <w:szCs w:val="24"/>
        </w:rPr>
      </w:pPr>
      <w:r w:rsidRPr="00A77D07">
        <w:rPr>
          <w:rFonts w:ascii="Arial" w:hAnsi="Arial" w:cs="Arial"/>
          <w:sz w:val="24"/>
          <w:szCs w:val="24"/>
        </w:rPr>
        <w:t>(equivalent to amoxicillin trihydrate 172 mg)</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Excipients: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For the full list of excipients, see section 6.1.</w:t>
      </w:r>
    </w:p>
    <w:bookmarkEnd w:id="2"/>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spacing w:line="240" w:lineRule="auto"/>
        <w:jc w:val="both"/>
        <w:rPr>
          <w:rFonts w:ascii="Arial" w:hAnsi="Arial" w:cs="Arial"/>
          <w:b/>
          <w:sz w:val="24"/>
          <w:szCs w:val="24"/>
        </w:rPr>
      </w:pPr>
      <w:r w:rsidRPr="00A77D07">
        <w:rPr>
          <w:rFonts w:ascii="Arial" w:hAnsi="Arial" w:cs="Arial"/>
          <w:b/>
          <w:sz w:val="24"/>
          <w:szCs w:val="24"/>
        </w:rPr>
        <w:t>3.</w:t>
      </w:r>
      <w:r w:rsidRPr="00A77D07">
        <w:rPr>
          <w:rFonts w:ascii="Arial" w:hAnsi="Arial" w:cs="Arial"/>
          <w:b/>
          <w:sz w:val="24"/>
          <w:szCs w:val="24"/>
        </w:rPr>
        <w:tab/>
        <w:t>PHARMACEUTICAL FORM</w:t>
      </w:r>
    </w:p>
    <w:p w:rsidR="00A77D07" w:rsidRPr="00A77D07" w:rsidRDefault="00A77D07" w:rsidP="00A77D07">
      <w:pPr>
        <w:jc w:val="both"/>
        <w:rPr>
          <w:rFonts w:ascii="Arial" w:hAnsi="Arial" w:cs="Arial"/>
          <w:sz w:val="24"/>
          <w:szCs w:val="24"/>
        </w:rPr>
      </w:pPr>
    </w:p>
    <w:p w:rsidR="00A77D07" w:rsidRPr="00A77D07" w:rsidRDefault="00A77D07" w:rsidP="00A77D07">
      <w:pPr>
        <w:spacing w:line="240" w:lineRule="auto"/>
        <w:jc w:val="both"/>
        <w:rPr>
          <w:rFonts w:ascii="Arial" w:hAnsi="Arial" w:cs="Arial"/>
          <w:sz w:val="24"/>
          <w:szCs w:val="24"/>
        </w:rPr>
      </w:pPr>
      <w:r w:rsidRPr="00A77D07">
        <w:rPr>
          <w:rFonts w:ascii="Arial" w:hAnsi="Arial" w:cs="Arial"/>
          <w:sz w:val="24"/>
          <w:szCs w:val="24"/>
        </w:rPr>
        <w:t>Suspension for injection.</w:t>
      </w:r>
    </w:p>
    <w:p w:rsidR="00A77D07" w:rsidRPr="00A77D07" w:rsidRDefault="00A77D07" w:rsidP="00A77D07">
      <w:pPr>
        <w:spacing w:line="240" w:lineRule="auto"/>
        <w:jc w:val="both"/>
        <w:rPr>
          <w:rFonts w:ascii="Arial" w:hAnsi="Arial" w:cs="Arial"/>
          <w:sz w:val="24"/>
          <w:szCs w:val="24"/>
        </w:rPr>
      </w:pPr>
      <w:r w:rsidRPr="00A77D07">
        <w:rPr>
          <w:rFonts w:ascii="Arial" w:hAnsi="Arial" w:cs="Arial"/>
          <w:sz w:val="24"/>
          <w:szCs w:val="24"/>
        </w:rPr>
        <w:t>A white to off-white oily suspension.</w:t>
      </w:r>
    </w:p>
    <w:p w:rsidR="00A77D07" w:rsidRPr="00A77D07" w:rsidRDefault="00A77D07" w:rsidP="00A77D07">
      <w:pPr>
        <w:spacing w:line="240" w:lineRule="auto"/>
        <w:jc w:val="both"/>
        <w:rPr>
          <w:rFonts w:ascii="Arial" w:hAnsi="Arial" w:cs="Arial"/>
          <w:sz w:val="24"/>
          <w:szCs w:val="24"/>
        </w:rPr>
      </w:pPr>
    </w:p>
    <w:p w:rsidR="00A77D07" w:rsidRPr="00A77D07" w:rsidRDefault="00A77D07" w:rsidP="00A77D07">
      <w:pPr>
        <w:spacing w:line="240" w:lineRule="auto"/>
        <w:jc w:val="both"/>
        <w:rPr>
          <w:rFonts w:ascii="Arial" w:hAnsi="Arial" w:cs="Arial"/>
          <w:sz w:val="24"/>
          <w:szCs w:val="24"/>
        </w:rPr>
      </w:pPr>
    </w:p>
    <w:p w:rsidR="00A77D07" w:rsidRPr="00A77D07" w:rsidRDefault="00A77D07" w:rsidP="00A77D07">
      <w:pPr>
        <w:spacing w:line="240" w:lineRule="auto"/>
        <w:jc w:val="both"/>
        <w:rPr>
          <w:rFonts w:ascii="Arial" w:hAnsi="Arial" w:cs="Arial"/>
          <w:b/>
          <w:sz w:val="24"/>
          <w:szCs w:val="24"/>
        </w:rPr>
      </w:pPr>
      <w:r w:rsidRPr="00A77D07">
        <w:rPr>
          <w:rFonts w:ascii="Arial" w:hAnsi="Arial" w:cs="Arial"/>
          <w:b/>
          <w:sz w:val="24"/>
          <w:szCs w:val="24"/>
        </w:rPr>
        <w:t>4.</w:t>
      </w:r>
      <w:r w:rsidRPr="00A77D07">
        <w:rPr>
          <w:rFonts w:ascii="Arial" w:hAnsi="Arial" w:cs="Arial"/>
          <w:b/>
          <w:sz w:val="24"/>
          <w:szCs w:val="24"/>
        </w:rPr>
        <w:tab/>
        <w:t>CLINICAL PARTICULARS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4.1</w:t>
      </w:r>
      <w:r w:rsidRPr="00A77D07">
        <w:rPr>
          <w:rFonts w:ascii="Arial" w:hAnsi="Arial" w:cs="Arial"/>
          <w:b/>
          <w:sz w:val="24"/>
          <w:szCs w:val="24"/>
        </w:rPr>
        <w:tab/>
        <w:t>Target species</w:t>
      </w:r>
    </w:p>
    <w:p w:rsidR="00A77D07" w:rsidRPr="00A77D07" w:rsidRDefault="00A77D07" w:rsidP="00A77D07">
      <w:pPr>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Cattle, Sheep, Pigs, Dogs, Cats</w:t>
      </w:r>
    </w:p>
    <w:p w:rsidR="00A77D07" w:rsidRPr="00A77D07" w:rsidRDefault="00A77D07" w:rsidP="00A77D07">
      <w:pPr>
        <w:tabs>
          <w:tab w:val="clear" w:pos="567"/>
        </w:tabs>
        <w:spacing w:line="240" w:lineRule="auto"/>
        <w:jc w:val="both"/>
        <w:rPr>
          <w:rFonts w:ascii="Arial" w:hAnsi="Arial" w:cs="Arial"/>
          <w:b/>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
          <w:sz w:val="24"/>
          <w:szCs w:val="24"/>
        </w:rPr>
        <w:t>4.2</w:t>
      </w:r>
      <w:r w:rsidRPr="00A77D07">
        <w:rPr>
          <w:rFonts w:ascii="Arial" w:hAnsi="Arial" w:cs="Arial"/>
          <w:b/>
          <w:sz w:val="24"/>
          <w:szCs w:val="24"/>
        </w:rPr>
        <w:tab/>
        <w:t>Indications for use, specifying the target species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For the treatment of infections of the alimentary tract, respiratory tract, urogenital tract, skin and soft tissue caused by bacteria susceptible to amoxicillin.</w:t>
      </w:r>
    </w:p>
    <w:p w:rsidR="00A77D07" w:rsidRPr="00A77D07" w:rsidRDefault="00A77D07" w:rsidP="00A77D07">
      <w:pPr>
        <w:tabs>
          <w:tab w:val="clear" w:pos="567"/>
        </w:tabs>
        <w:spacing w:line="240" w:lineRule="auto"/>
        <w:jc w:val="both"/>
        <w:rPr>
          <w:rFonts w:ascii="Arial" w:hAnsi="Arial" w:cs="Arial"/>
          <w:b/>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
          <w:sz w:val="24"/>
          <w:szCs w:val="24"/>
        </w:rPr>
        <w:t>4.3</w:t>
      </w:r>
      <w:r w:rsidRPr="00A77D07">
        <w:rPr>
          <w:rFonts w:ascii="Arial" w:hAnsi="Arial" w:cs="Arial"/>
          <w:b/>
          <w:sz w:val="24"/>
          <w:szCs w:val="24"/>
        </w:rPr>
        <w:tab/>
        <w:t>Contraindications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Do not administer via the intravenous or intrathecal routes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Do not administer to rabbits, hamsters, gerbils or guinea pigs.</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ab/>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Do not use in known cases of hypersensitivity to penicillins, cephalosporins or any of the excipients.</w:t>
      </w:r>
    </w:p>
    <w:p w:rsidR="00A77D07" w:rsidRDefault="00A77D07" w:rsidP="00A77D07">
      <w:pPr>
        <w:tabs>
          <w:tab w:val="clear" w:pos="567"/>
        </w:tabs>
        <w:spacing w:line="240" w:lineRule="auto"/>
        <w:jc w:val="both"/>
        <w:rPr>
          <w:rFonts w:ascii="Arial" w:hAnsi="Arial" w:cs="Arial"/>
          <w:sz w:val="24"/>
          <w:szCs w:val="24"/>
        </w:rPr>
      </w:pPr>
    </w:p>
    <w:p w:rsidR="00A77D07" w:rsidRDefault="00A77D07" w:rsidP="00A77D07">
      <w:pPr>
        <w:tabs>
          <w:tab w:val="clear" w:pos="567"/>
        </w:tabs>
        <w:spacing w:line="240" w:lineRule="auto"/>
        <w:jc w:val="both"/>
        <w:rPr>
          <w:rFonts w:ascii="Arial" w:hAnsi="Arial" w:cs="Arial"/>
          <w:sz w:val="24"/>
          <w:szCs w:val="24"/>
        </w:rPr>
      </w:pPr>
    </w:p>
    <w:p w:rsidR="00A77D07" w:rsidRDefault="0038150B" w:rsidP="0038150B">
      <w:pPr>
        <w:tabs>
          <w:tab w:val="clear" w:pos="567"/>
          <w:tab w:val="left" w:pos="2520"/>
        </w:tabs>
        <w:spacing w:line="240" w:lineRule="auto"/>
        <w:jc w:val="both"/>
        <w:rPr>
          <w:rFonts w:ascii="Arial" w:hAnsi="Arial" w:cs="Arial"/>
          <w:sz w:val="24"/>
          <w:szCs w:val="24"/>
        </w:rPr>
      </w:pPr>
      <w:r>
        <w:rPr>
          <w:rFonts w:ascii="Arial" w:hAnsi="Arial" w:cs="Arial"/>
          <w:sz w:val="24"/>
          <w:szCs w:val="24"/>
        </w:rPr>
        <w:tab/>
      </w:r>
    </w:p>
    <w:p w:rsidR="0038150B" w:rsidRPr="00A77D07" w:rsidRDefault="0038150B" w:rsidP="0038150B">
      <w:pPr>
        <w:tabs>
          <w:tab w:val="clear" w:pos="567"/>
          <w:tab w:val="left" w:pos="2520"/>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lastRenderedPageBreak/>
        <w:t>4.4</w:t>
      </w:r>
      <w:r w:rsidRPr="00A77D07">
        <w:rPr>
          <w:rFonts w:ascii="Arial" w:hAnsi="Arial" w:cs="Arial"/>
          <w:b/>
          <w:sz w:val="24"/>
          <w:szCs w:val="24"/>
        </w:rPr>
        <w:tab/>
        <w:t>Special warnings for each target species</w:t>
      </w:r>
    </w:p>
    <w:p w:rsidR="00A77D07" w:rsidRPr="00A77D07" w:rsidRDefault="00A77D07" w:rsidP="00A77D07">
      <w:pPr>
        <w:tabs>
          <w:tab w:val="clear" w:pos="567"/>
        </w:tabs>
        <w:spacing w:line="240" w:lineRule="auto"/>
        <w:jc w:val="both"/>
        <w:rPr>
          <w:rFonts w:ascii="Arial" w:hAnsi="Arial" w:cs="Arial"/>
          <w:b/>
          <w:sz w:val="24"/>
          <w:szCs w:val="24"/>
        </w:rPr>
      </w:pPr>
    </w:p>
    <w:p w:rsidR="00A77D07" w:rsidRPr="00A77D07" w:rsidDel="00E86CEE"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The product is not effective against beta-lactamase producing organisms.</w:t>
      </w:r>
    </w:p>
    <w:p w:rsidR="00A77D07" w:rsidRPr="00A77D07" w:rsidRDefault="00A77D07" w:rsidP="00A77D07">
      <w:pPr>
        <w:tabs>
          <w:tab w:val="left" w:pos="540"/>
        </w:tabs>
        <w:rPr>
          <w:rFonts w:ascii="Arial" w:hAnsi="Arial" w:cs="Arial"/>
          <w:iCs/>
          <w:sz w:val="24"/>
          <w:szCs w:val="24"/>
        </w:rPr>
      </w:pPr>
      <w:r w:rsidRPr="00A77D07">
        <w:rPr>
          <w:rFonts w:ascii="Arial" w:hAnsi="Arial" w:cs="Arial"/>
          <w:iCs/>
          <w:sz w:val="24"/>
          <w:szCs w:val="24"/>
        </w:rPr>
        <w:t>Complete cross-resistance has been shown between amoxicillin and other penicillins, in particular amino-penicillins.</w:t>
      </w:r>
    </w:p>
    <w:p w:rsidR="00A77D07" w:rsidRPr="00A77D07" w:rsidRDefault="00A77D07" w:rsidP="00A77D07">
      <w:pPr>
        <w:tabs>
          <w:tab w:val="clear" w:pos="567"/>
        </w:tabs>
        <w:spacing w:line="240" w:lineRule="auto"/>
        <w:rPr>
          <w:rFonts w:ascii="Arial" w:hAnsi="Arial" w:cs="Arial"/>
          <w:iCs/>
          <w:sz w:val="24"/>
          <w:szCs w:val="24"/>
        </w:rPr>
      </w:pPr>
      <w:r w:rsidRPr="00A77D07">
        <w:rPr>
          <w:rFonts w:ascii="Arial" w:hAnsi="Arial" w:cs="Arial"/>
          <w:iCs/>
          <w:sz w:val="24"/>
          <w:szCs w:val="24"/>
        </w:rPr>
        <w:t>Use of the product/amoxicillin should be carefully considered when antimicrobial susceptibility testing has shown resistance to penicillins because its effectiveness may be reduced.</w:t>
      </w:r>
    </w:p>
    <w:p w:rsidR="00A77D07" w:rsidRPr="00A77D07" w:rsidRDefault="00A77D07" w:rsidP="00A77D07">
      <w:pPr>
        <w:tabs>
          <w:tab w:val="clear" w:pos="567"/>
        </w:tabs>
        <w:spacing w:line="240" w:lineRule="auto"/>
        <w:jc w:val="both"/>
        <w:rPr>
          <w:rFonts w:ascii="Arial" w:hAnsi="Arial" w:cs="Arial"/>
          <w:b/>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
          <w:sz w:val="24"/>
          <w:szCs w:val="24"/>
        </w:rPr>
        <w:t>4.5</w:t>
      </w:r>
      <w:r w:rsidRPr="00A77D07">
        <w:rPr>
          <w:rFonts w:ascii="Arial" w:hAnsi="Arial" w:cs="Arial"/>
          <w:b/>
          <w:sz w:val="24"/>
          <w:szCs w:val="24"/>
        </w:rPr>
        <w:tab/>
        <w:t>Special precautions for use</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keepNext/>
        <w:keepLines/>
        <w:tabs>
          <w:tab w:val="clear" w:pos="567"/>
        </w:tabs>
        <w:spacing w:line="240" w:lineRule="auto"/>
        <w:jc w:val="both"/>
        <w:rPr>
          <w:rFonts w:ascii="Arial" w:hAnsi="Arial" w:cs="Arial"/>
          <w:sz w:val="24"/>
          <w:szCs w:val="24"/>
          <w:u w:val="single"/>
        </w:rPr>
      </w:pPr>
      <w:r w:rsidRPr="00A77D07">
        <w:rPr>
          <w:rFonts w:ascii="Arial" w:hAnsi="Arial" w:cs="Arial"/>
          <w:sz w:val="24"/>
          <w:szCs w:val="24"/>
          <w:u w:val="single"/>
        </w:rPr>
        <w:t>Special precautions for use in animals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widowControl w:val="0"/>
        <w:tabs>
          <w:tab w:val="clear" w:pos="567"/>
        </w:tabs>
        <w:spacing w:line="240" w:lineRule="auto"/>
        <w:jc w:val="both"/>
        <w:rPr>
          <w:rFonts w:ascii="Arial" w:hAnsi="Arial" w:cs="Arial"/>
          <w:sz w:val="24"/>
          <w:szCs w:val="24"/>
        </w:rPr>
      </w:pPr>
      <w:r w:rsidRPr="00A77D07">
        <w:rPr>
          <w:rFonts w:ascii="Arial" w:hAnsi="Arial" w:cs="Arial"/>
          <w:sz w:val="24"/>
          <w:szCs w:val="24"/>
        </w:rPr>
        <w:t>Use of the product should be based on susceptibility testing of the bacteria isolated from the animal.  If this is not possible, therapy should be based on local (regional, farm level) epidemiological information about susceptibility of the target bacteria.</w:t>
      </w:r>
    </w:p>
    <w:p w:rsidR="00A77D07" w:rsidRPr="00A77D07" w:rsidRDefault="00A77D07" w:rsidP="00A77D07">
      <w:pPr>
        <w:widowControl w:val="0"/>
        <w:tabs>
          <w:tab w:val="clear" w:pos="567"/>
        </w:tabs>
        <w:spacing w:line="240" w:lineRule="auto"/>
        <w:jc w:val="both"/>
        <w:rPr>
          <w:rFonts w:ascii="Arial" w:hAnsi="Arial" w:cs="Arial"/>
          <w:sz w:val="24"/>
          <w:szCs w:val="24"/>
        </w:rPr>
      </w:pPr>
      <w:r w:rsidRPr="00A77D07">
        <w:rPr>
          <w:rFonts w:ascii="Arial" w:hAnsi="Arial" w:cs="Arial"/>
          <w:sz w:val="24"/>
          <w:szCs w:val="24"/>
        </w:rPr>
        <w:t>Official, national and regional antimicrobial policies should be taken into account when the product is used.</w:t>
      </w:r>
    </w:p>
    <w:p w:rsidR="00A77D07" w:rsidRPr="00A77D07" w:rsidRDefault="00A77D07" w:rsidP="00A77D07">
      <w:pPr>
        <w:widowControl w:val="0"/>
        <w:tabs>
          <w:tab w:val="clear" w:pos="567"/>
        </w:tabs>
        <w:spacing w:line="240" w:lineRule="auto"/>
        <w:jc w:val="both"/>
        <w:rPr>
          <w:rFonts w:ascii="Arial" w:hAnsi="Arial" w:cs="Arial"/>
          <w:sz w:val="24"/>
          <w:szCs w:val="24"/>
        </w:rPr>
      </w:pPr>
      <w:r w:rsidRPr="00A77D07">
        <w:rPr>
          <w:rFonts w:ascii="Arial" w:hAnsi="Arial" w:cs="Arial"/>
          <w:sz w:val="24"/>
          <w:szCs w:val="24"/>
        </w:rPr>
        <w:t>Use of the product deviating from the instructions given in the SPC may increase the prevalence of bacteria resistant to amoxicillin and may decrease the effectiveness of treatment with other penicillins, due to the potential for cross-resistance.</w:t>
      </w:r>
    </w:p>
    <w:p w:rsidR="00A77D07" w:rsidRPr="00A77D07" w:rsidRDefault="00A77D07" w:rsidP="00A77D07">
      <w:pPr>
        <w:widowControl w:val="0"/>
        <w:tabs>
          <w:tab w:val="clear" w:pos="567"/>
        </w:tabs>
        <w:spacing w:line="240" w:lineRule="auto"/>
        <w:jc w:val="both"/>
        <w:rPr>
          <w:rFonts w:ascii="Arial" w:hAnsi="Arial" w:cs="Arial"/>
          <w:b/>
          <w:sz w:val="24"/>
          <w:szCs w:val="24"/>
        </w:rPr>
      </w:pPr>
    </w:p>
    <w:p w:rsidR="00A77D07" w:rsidRPr="00A77D07" w:rsidRDefault="00A77D07" w:rsidP="00A77D07">
      <w:pPr>
        <w:keepNext/>
        <w:keepLines/>
        <w:tabs>
          <w:tab w:val="clear" w:pos="567"/>
        </w:tabs>
        <w:spacing w:line="240" w:lineRule="auto"/>
        <w:jc w:val="both"/>
        <w:rPr>
          <w:rFonts w:ascii="Arial" w:hAnsi="Arial" w:cs="Arial"/>
          <w:sz w:val="24"/>
          <w:szCs w:val="24"/>
          <w:u w:val="single"/>
        </w:rPr>
      </w:pPr>
      <w:r w:rsidRPr="00A77D07">
        <w:rPr>
          <w:rFonts w:ascii="Arial" w:hAnsi="Arial" w:cs="Arial"/>
          <w:sz w:val="24"/>
          <w:szCs w:val="24"/>
          <w:u w:val="single"/>
        </w:rPr>
        <w:t>Special precautions to be taken by the person administering the veterinary medicinal product to animals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Care should be taken to avoid accidental self-injection. In the case of accidental self-injection, seek medical advice immediately.</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Penicillins and cephalosporins may cause hypersensitivity (allergy) following injection, inhalation, ingestion or skin contact. Hypersensitivity to penicillins may lead to cross-reactions to cephalosporins and vice versa. Allergic reactions to these substances may occasionally be serious.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1.</w:t>
      </w:r>
      <w:r w:rsidRPr="00A77D07">
        <w:rPr>
          <w:rFonts w:ascii="Arial" w:hAnsi="Arial" w:cs="Arial"/>
          <w:sz w:val="24"/>
          <w:szCs w:val="24"/>
        </w:rPr>
        <w:tab/>
        <w:t>Do not handle this product if you know you are sensitised, or if you have been advised not to work with such preparations.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2.</w:t>
      </w:r>
      <w:r w:rsidRPr="00A77D07">
        <w:rPr>
          <w:rFonts w:ascii="Arial" w:hAnsi="Arial" w:cs="Arial"/>
          <w:sz w:val="24"/>
          <w:szCs w:val="24"/>
        </w:rPr>
        <w:tab/>
        <w:t>Handle this product with great care to avoid exposure, taking all recommended precautions.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3.</w:t>
      </w:r>
      <w:r w:rsidRPr="00A77D07">
        <w:rPr>
          <w:rFonts w:ascii="Arial" w:hAnsi="Arial" w:cs="Arial"/>
          <w:sz w:val="24"/>
          <w:szCs w:val="24"/>
        </w:rPr>
        <w:tab/>
        <w:t>If you develop symptoms following exposure such as skin rash, you should seek medical advice and show the doctor this warning. Swelling of the face, lips or eyes or difficulty with breathing, are more serious symptoms and require urgent medical attention.</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Wash hands after use.</w:t>
      </w:r>
    </w:p>
    <w:p w:rsidR="00A77D07" w:rsidRPr="00A77D07" w:rsidRDefault="00A77D07" w:rsidP="00A77D07">
      <w:pPr>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
          <w:sz w:val="24"/>
          <w:szCs w:val="24"/>
        </w:rPr>
        <w:t>4.6</w:t>
      </w:r>
      <w:r w:rsidRPr="00A77D07">
        <w:rPr>
          <w:rFonts w:ascii="Arial" w:hAnsi="Arial" w:cs="Arial"/>
          <w:b/>
          <w:sz w:val="24"/>
          <w:szCs w:val="24"/>
        </w:rPr>
        <w:tab/>
        <w:t>Adverse reactions (frequency and seriousness)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In very rare cases, allergic reactions may occur, varying in severity from a light skin reaction such as urticaria to anaphylactic shock. </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In the case of allergic reactions, treatment should be discontinued and a symptomatic treatment should be initiated.</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In rare cases local irritation may occur due to the injection of amoxicillin. The frequency of this adverse reaction may be decreased by reducing the volume of injection per injection site. The irritation is typically of low intensity and recedes spontaneously and quickly </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The frequency of adverse reactions is defined using the following convention:</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very common (more than 1 in 10 animals treated displaying adverse reaction(s))</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common (more than 1 but less than 10 animals in 100 animals treated)</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uncommon (more than 1 but less than 10 animals in 1,000 animals treated)</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rare (more than 1 but less than 10 animals in 10,000 animals treated)</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very rare (less than 1 animal in 10,000 animals treated, including isolated reports).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4.7</w:t>
      </w:r>
      <w:r w:rsidRPr="00A77D07">
        <w:rPr>
          <w:rFonts w:ascii="Arial" w:hAnsi="Arial" w:cs="Arial"/>
          <w:b/>
          <w:sz w:val="24"/>
          <w:szCs w:val="24"/>
        </w:rPr>
        <w:tab/>
        <w:t>Use during pregnancy, lactation or lay</w:t>
      </w:r>
    </w:p>
    <w:p w:rsidR="00A77D07" w:rsidRPr="00A77D07" w:rsidRDefault="00A77D07" w:rsidP="00A77D07">
      <w:pPr>
        <w:tabs>
          <w:tab w:val="clear" w:pos="567"/>
        </w:tabs>
        <w:spacing w:line="240" w:lineRule="auto"/>
        <w:jc w:val="both"/>
        <w:rPr>
          <w:rFonts w:ascii="Arial" w:hAnsi="Arial" w:cs="Arial"/>
          <w:b/>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Can be used during pregnancy and lactation.</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4.8</w:t>
      </w:r>
      <w:r w:rsidRPr="00A77D07">
        <w:rPr>
          <w:rFonts w:ascii="Arial" w:hAnsi="Arial" w:cs="Arial"/>
          <w:b/>
          <w:sz w:val="24"/>
          <w:szCs w:val="24"/>
        </w:rPr>
        <w:tab/>
        <w:t>Interaction with other medicinal products and other forms of interaction</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It is not generally recommended to use bactericidal and bacteriostatic antibiotics at the same time.</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Beta-lactam antibiotics are known to interact with antibiotics with bacteriostatic action such as chloramphenicol, macrolides, sulfonamides and tetracyclines. There is also synergic action of penicillins with aminoglycosides.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
          <w:sz w:val="24"/>
          <w:szCs w:val="24"/>
        </w:rPr>
        <w:t>4.9</w:t>
      </w:r>
      <w:r w:rsidRPr="00A77D07">
        <w:rPr>
          <w:rFonts w:ascii="Arial" w:hAnsi="Arial" w:cs="Arial"/>
          <w:b/>
          <w:sz w:val="24"/>
          <w:szCs w:val="24"/>
        </w:rPr>
        <w:tab/>
        <w:t>Amounts</w:t>
      </w:r>
      <w:r w:rsidRPr="00A77D07">
        <w:rPr>
          <w:rFonts w:ascii="Arial" w:hAnsi="Arial" w:cs="Arial"/>
          <w:b/>
          <w:bCs/>
          <w:sz w:val="24"/>
          <w:szCs w:val="24"/>
        </w:rPr>
        <w:t xml:space="preserve"> to be administered and administration route</w:t>
      </w:r>
    </w:p>
    <w:p w:rsidR="00A77D07" w:rsidRPr="00A77D07" w:rsidRDefault="00A77D07" w:rsidP="00A77D07">
      <w:pPr>
        <w:tabs>
          <w:tab w:val="clear" w:pos="567"/>
          <w:tab w:val="left" w:pos="540"/>
        </w:tabs>
        <w:spacing w:line="240" w:lineRule="auto"/>
        <w:jc w:val="both"/>
        <w:rPr>
          <w:rFonts w:ascii="Arial" w:hAnsi="Arial" w:cs="Arial"/>
          <w:sz w:val="24"/>
          <w:szCs w:val="24"/>
        </w:rPr>
      </w:pP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r w:rsidRPr="00A77D07">
        <w:rPr>
          <w:rFonts w:ascii="Arial" w:hAnsi="Arial" w:cs="Arial"/>
          <w:sz w:val="24"/>
          <w:szCs w:val="24"/>
        </w:rPr>
        <w:t>Cattle, sheep and pigs - intramuscular use only.</w:t>
      </w: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r w:rsidRPr="00A77D07">
        <w:rPr>
          <w:rFonts w:ascii="Arial" w:hAnsi="Arial" w:cs="Arial"/>
          <w:sz w:val="24"/>
          <w:szCs w:val="24"/>
        </w:rPr>
        <w:t>Dogs and cats - subcutaneous or intramuscular use.</w:t>
      </w: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Shake the vial vigorously </w:t>
      </w:r>
      <w:bookmarkStart w:id="3" w:name="_Hlk533681550"/>
      <w:r w:rsidRPr="00A77D07">
        <w:rPr>
          <w:rFonts w:ascii="Arial" w:hAnsi="Arial" w:cs="Arial"/>
          <w:sz w:val="24"/>
          <w:szCs w:val="24"/>
        </w:rPr>
        <w:t>to achieve full resuspension before use.</w:t>
      </w:r>
    </w:p>
    <w:p w:rsidR="00A77D07" w:rsidRPr="00A77D07" w:rsidRDefault="00A77D07" w:rsidP="00A77D07">
      <w:pPr>
        <w:tabs>
          <w:tab w:val="clear" w:pos="567"/>
        </w:tabs>
        <w:spacing w:line="240" w:lineRule="auto"/>
        <w:jc w:val="both"/>
        <w:rPr>
          <w:rFonts w:ascii="Arial" w:hAnsi="Arial" w:cs="Arial"/>
          <w:sz w:val="24"/>
          <w:szCs w:val="24"/>
        </w:rPr>
      </w:pPr>
    </w:p>
    <w:bookmarkEnd w:id="3"/>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This product does not contain an antimicrobial preservative.</w:t>
      </w:r>
    </w:p>
    <w:p w:rsidR="00A77D07" w:rsidRPr="00A77D07" w:rsidRDefault="00A77D07" w:rsidP="00A77D07">
      <w:pPr>
        <w:tabs>
          <w:tab w:val="clear" w:pos="567"/>
        </w:tabs>
        <w:spacing w:line="240" w:lineRule="auto"/>
        <w:ind w:left="567"/>
        <w:jc w:val="both"/>
        <w:rPr>
          <w:rFonts w:ascii="Arial" w:hAnsi="Arial" w:cs="Arial"/>
          <w:iCs/>
          <w:sz w:val="24"/>
          <w:szCs w:val="24"/>
        </w:rPr>
      </w:pP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r w:rsidRPr="00A77D07">
        <w:rPr>
          <w:rFonts w:ascii="Arial" w:hAnsi="Arial" w:cs="Arial"/>
          <w:iCs/>
          <w:sz w:val="24"/>
          <w:szCs w:val="24"/>
        </w:rPr>
        <w:t>Swab the septum before removing each dose.</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To ensure the correct dosage, bodyweight should be determined as accurately as possible to avoid underdosing.</w:t>
      </w: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r w:rsidRPr="00A77D07">
        <w:rPr>
          <w:rFonts w:ascii="Arial" w:hAnsi="Arial" w:cs="Arial"/>
          <w:sz w:val="24"/>
          <w:szCs w:val="24"/>
        </w:rPr>
        <w:t>The recommended dosage rate is 15 mg per kg bodyweight, equivalent to 1 ml per 10 kg bodyweight to be repeated once after 48 hours.</w:t>
      </w:r>
    </w:p>
    <w:p w:rsidR="00A77D07" w:rsidRPr="00A77D07" w:rsidRDefault="00A77D07" w:rsidP="00A77D07">
      <w:pPr>
        <w:tabs>
          <w:tab w:val="clear" w:pos="567"/>
        </w:tabs>
        <w:overflowPunct w:val="0"/>
        <w:autoSpaceDE w:val="0"/>
        <w:autoSpaceDN w:val="0"/>
        <w:adjustRightInd w:val="0"/>
        <w:spacing w:line="240" w:lineRule="auto"/>
        <w:ind w:left="720" w:hanging="720"/>
        <w:jc w:val="both"/>
        <w:rPr>
          <w:rFonts w:ascii="Arial" w:hAnsi="Arial" w:cs="Arial"/>
          <w:sz w:val="24"/>
          <w:szCs w:val="24"/>
        </w:rPr>
      </w:pP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r w:rsidRPr="00A77D07">
        <w:rPr>
          <w:rFonts w:ascii="Arial" w:hAnsi="Arial" w:cs="Arial"/>
          <w:sz w:val="24"/>
          <w:szCs w:val="24"/>
        </w:rPr>
        <w:t xml:space="preserve">Maximum injection volume per injection site is 20 ml. </w:t>
      </w: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r w:rsidRPr="00A77D07">
        <w:rPr>
          <w:rFonts w:ascii="Arial" w:hAnsi="Arial" w:cs="Arial"/>
          <w:sz w:val="24"/>
          <w:szCs w:val="24"/>
        </w:rPr>
        <w:t>A separate injection site should be used for each administration.</w:t>
      </w: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p>
    <w:p w:rsidR="00A77D07" w:rsidRPr="00A77D07" w:rsidRDefault="00A77D07" w:rsidP="00A77D07">
      <w:pPr>
        <w:tabs>
          <w:tab w:val="clear" w:pos="567"/>
        </w:tabs>
        <w:overflowPunct w:val="0"/>
        <w:autoSpaceDE w:val="0"/>
        <w:autoSpaceDN w:val="0"/>
        <w:adjustRightInd w:val="0"/>
        <w:spacing w:line="240" w:lineRule="auto"/>
        <w:jc w:val="both"/>
        <w:rPr>
          <w:rFonts w:ascii="Arial" w:hAnsi="Arial" w:cs="Arial"/>
          <w:sz w:val="24"/>
          <w:szCs w:val="24"/>
        </w:rPr>
      </w:pPr>
      <w:bookmarkStart w:id="4" w:name="_Hlk526942754"/>
      <w:r w:rsidRPr="00A77D07">
        <w:rPr>
          <w:rFonts w:ascii="Arial" w:hAnsi="Arial" w:cs="Arial"/>
          <w:sz w:val="24"/>
          <w:szCs w:val="24"/>
        </w:rPr>
        <w:t>The stopper should not be punctured more than 40 times.</w:t>
      </w:r>
    </w:p>
    <w:bookmarkEnd w:id="4"/>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bCs/>
          <w:sz w:val="24"/>
          <w:szCs w:val="24"/>
        </w:rPr>
      </w:pPr>
      <w:r w:rsidRPr="00A77D07">
        <w:rPr>
          <w:rFonts w:ascii="Arial" w:hAnsi="Arial" w:cs="Arial"/>
          <w:b/>
          <w:bCs/>
          <w:sz w:val="24"/>
          <w:szCs w:val="24"/>
        </w:rPr>
        <w:t>4.10</w:t>
      </w:r>
      <w:r w:rsidRPr="00A77D07">
        <w:rPr>
          <w:rFonts w:ascii="Arial" w:hAnsi="Arial" w:cs="Arial"/>
          <w:b/>
          <w:bCs/>
          <w:sz w:val="24"/>
          <w:szCs w:val="24"/>
        </w:rPr>
        <w:tab/>
        <w:t>Overdose (symptoms, emergency procedures, antidotes), if necessary</w:t>
      </w:r>
    </w:p>
    <w:p w:rsidR="00A77D07" w:rsidRPr="00A77D07" w:rsidRDefault="00A77D07" w:rsidP="00A77D07">
      <w:pPr>
        <w:tabs>
          <w:tab w:val="clear" w:pos="567"/>
        </w:tabs>
        <w:spacing w:line="240" w:lineRule="auto"/>
        <w:jc w:val="both"/>
        <w:rPr>
          <w:rFonts w:ascii="Arial" w:hAnsi="Arial" w:cs="Arial"/>
          <w:b/>
          <w:bCs/>
          <w:sz w:val="24"/>
          <w:szCs w:val="24"/>
        </w:rPr>
      </w:pPr>
    </w:p>
    <w:p w:rsidR="00A77D07" w:rsidRPr="00A77D07" w:rsidRDefault="00A77D07" w:rsidP="00A77D07">
      <w:pPr>
        <w:tabs>
          <w:tab w:val="clear" w:pos="567"/>
        </w:tabs>
        <w:spacing w:line="240" w:lineRule="auto"/>
        <w:jc w:val="both"/>
        <w:rPr>
          <w:rFonts w:ascii="Arial" w:hAnsi="Arial" w:cs="Arial"/>
          <w:bCs/>
          <w:sz w:val="24"/>
          <w:szCs w:val="24"/>
        </w:rPr>
      </w:pPr>
      <w:r w:rsidRPr="00A77D07">
        <w:rPr>
          <w:rFonts w:ascii="Arial" w:hAnsi="Arial" w:cs="Arial"/>
          <w:bCs/>
          <w:sz w:val="24"/>
          <w:szCs w:val="24"/>
        </w:rPr>
        <w:t>The safety of amoxicillin is typical of that of other penicillins in that intrinsic toxicity is very low.  Amoxicillin</w:t>
      </w:r>
      <w:r w:rsidRPr="00A77D07">
        <w:rPr>
          <w:rFonts w:ascii="Arial" w:hAnsi="Arial" w:cs="Arial"/>
          <w:sz w:val="24"/>
          <w:szCs w:val="24"/>
        </w:rPr>
        <w:t xml:space="preserve"> has a wide safety margin.</w:t>
      </w:r>
      <w:r w:rsidRPr="00A77D07">
        <w:rPr>
          <w:rFonts w:ascii="Arial" w:hAnsi="Arial" w:cs="Arial"/>
          <w:bCs/>
          <w:sz w:val="24"/>
          <w:szCs w:val="24"/>
        </w:rPr>
        <w:t xml:space="preserve"> </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Cs/>
          <w:sz w:val="24"/>
          <w:szCs w:val="24"/>
        </w:rPr>
        <w:t>In case of overdose, treatment is symptomatic.</w:t>
      </w:r>
    </w:p>
    <w:p w:rsidR="00A77D07" w:rsidRDefault="00A77D07" w:rsidP="00A77D07">
      <w:pPr>
        <w:tabs>
          <w:tab w:val="clear" w:pos="567"/>
        </w:tabs>
        <w:spacing w:line="240" w:lineRule="auto"/>
        <w:jc w:val="both"/>
        <w:rPr>
          <w:rFonts w:ascii="Arial" w:hAnsi="Arial" w:cs="Arial"/>
          <w:sz w:val="24"/>
          <w:szCs w:val="24"/>
        </w:rPr>
      </w:pPr>
    </w:p>
    <w:p w:rsidR="00A77D07" w:rsidRDefault="00A77D07" w:rsidP="00A77D07">
      <w:pPr>
        <w:tabs>
          <w:tab w:val="clear" w:pos="567"/>
        </w:tabs>
        <w:spacing w:line="240" w:lineRule="auto"/>
        <w:jc w:val="both"/>
        <w:rPr>
          <w:rFonts w:ascii="Arial" w:hAnsi="Arial" w:cs="Arial"/>
          <w:sz w:val="24"/>
          <w:szCs w:val="24"/>
        </w:rPr>
      </w:pPr>
    </w:p>
    <w:p w:rsid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
          <w:sz w:val="24"/>
          <w:szCs w:val="24"/>
        </w:rPr>
        <w:t>4.</w:t>
      </w:r>
      <w:r w:rsidRPr="00A77D07">
        <w:rPr>
          <w:rFonts w:ascii="Arial" w:hAnsi="Arial" w:cs="Arial"/>
          <w:b/>
          <w:bCs/>
          <w:sz w:val="24"/>
          <w:szCs w:val="24"/>
        </w:rPr>
        <w:t>11</w:t>
      </w:r>
      <w:r w:rsidRPr="00A77D07">
        <w:rPr>
          <w:rFonts w:ascii="Arial" w:hAnsi="Arial" w:cs="Arial"/>
          <w:b/>
          <w:sz w:val="24"/>
          <w:szCs w:val="24"/>
        </w:rPr>
        <w:tab/>
        <w:t>Withdrawal period(s)</w:t>
      </w:r>
    </w:p>
    <w:p w:rsidR="00A77D07" w:rsidRPr="00A77D07" w:rsidRDefault="00A77D07" w:rsidP="00A77D07">
      <w:pPr>
        <w:tabs>
          <w:tab w:val="left" w:pos="540"/>
        </w:tabs>
        <w:rPr>
          <w:rFonts w:ascii="Arial" w:hAnsi="Arial" w:cs="Arial"/>
          <w:i/>
          <w:color w:val="2F5496"/>
          <w:sz w:val="24"/>
          <w:szCs w:val="24"/>
        </w:rPr>
      </w:pPr>
    </w:p>
    <w:p w:rsidR="00A77D07" w:rsidRPr="00A77D07" w:rsidRDefault="00A77D07" w:rsidP="00A77D07">
      <w:pPr>
        <w:rPr>
          <w:rFonts w:ascii="Arial" w:hAnsi="Arial" w:cs="Arial"/>
          <w:sz w:val="24"/>
          <w:szCs w:val="24"/>
        </w:rPr>
      </w:pPr>
      <w:r w:rsidRPr="00A77D07">
        <w:rPr>
          <w:rFonts w:ascii="Arial" w:hAnsi="Arial" w:cs="Arial"/>
          <w:sz w:val="24"/>
          <w:szCs w:val="24"/>
        </w:rPr>
        <w:t xml:space="preserve">Cattle: </w:t>
      </w:r>
    </w:p>
    <w:p w:rsidR="00A77D07" w:rsidRPr="00A77D07" w:rsidRDefault="00A77D07" w:rsidP="00A77D07">
      <w:pPr>
        <w:rPr>
          <w:rFonts w:ascii="Arial" w:hAnsi="Arial" w:cs="Arial"/>
          <w:sz w:val="24"/>
          <w:szCs w:val="24"/>
        </w:rPr>
      </w:pPr>
      <w:r w:rsidRPr="00A77D07">
        <w:rPr>
          <w:rFonts w:ascii="Arial" w:hAnsi="Arial" w:cs="Arial"/>
          <w:sz w:val="24"/>
          <w:szCs w:val="24"/>
        </w:rPr>
        <w:t>Meat and offal: 28 days</w:t>
      </w:r>
    </w:p>
    <w:p w:rsidR="00A77D07" w:rsidRPr="00A77D07" w:rsidRDefault="00A77D07" w:rsidP="00A77D07">
      <w:pPr>
        <w:rPr>
          <w:rFonts w:ascii="Arial" w:hAnsi="Arial" w:cs="Arial"/>
          <w:sz w:val="24"/>
          <w:szCs w:val="24"/>
        </w:rPr>
      </w:pPr>
      <w:r w:rsidRPr="00A77D07">
        <w:rPr>
          <w:rFonts w:ascii="Arial" w:hAnsi="Arial" w:cs="Arial"/>
          <w:sz w:val="24"/>
          <w:szCs w:val="24"/>
        </w:rPr>
        <w:t>Milk: 84 hours</w:t>
      </w:r>
    </w:p>
    <w:p w:rsidR="00A77D07" w:rsidRPr="00A77D07" w:rsidRDefault="00A77D07" w:rsidP="00A77D07">
      <w:pPr>
        <w:rPr>
          <w:rFonts w:ascii="Arial" w:hAnsi="Arial" w:cs="Arial"/>
          <w:sz w:val="24"/>
          <w:szCs w:val="24"/>
        </w:rPr>
      </w:pPr>
    </w:p>
    <w:p w:rsidR="00A77D07" w:rsidRPr="00A77D07" w:rsidRDefault="00A77D07" w:rsidP="00A77D07">
      <w:pPr>
        <w:rPr>
          <w:rFonts w:ascii="Arial" w:hAnsi="Arial" w:cs="Arial"/>
          <w:sz w:val="24"/>
          <w:szCs w:val="24"/>
        </w:rPr>
      </w:pPr>
      <w:r w:rsidRPr="00A77D07">
        <w:rPr>
          <w:rFonts w:ascii="Arial" w:hAnsi="Arial" w:cs="Arial"/>
          <w:sz w:val="24"/>
          <w:szCs w:val="24"/>
        </w:rPr>
        <w:t xml:space="preserve">Pigs:  </w:t>
      </w:r>
    </w:p>
    <w:p w:rsidR="00A77D07" w:rsidRPr="00A77D07" w:rsidRDefault="00A77D07" w:rsidP="00A77D07">
      <w:pPr>
        <w:rPr>
          <w:rFonts w:ascii="Arial" w:hAnsi="Arial" w:cs="Arial"/>
          <w:sz w:val="24"/>
          <w:szCs w:val="24"/>
        </w:rPr>
      </w:pPr>
      <w:r w:rsidRPr="00A77D07">
        <w:rPr>
          <w:rFonts w:ascii="Arial" w:hAnsi="Arial" w:cs="Arial"/>
          <w:sz w:val="24"/>
          <w:szCs w:val="24"/>
        </w:rPr>
        <w:t>Meat and offal: 19 days</w:t>
      </w:r>
    </w:p>
    <w:p w:rsidR="00A77D07" w:rsidRPr="00A77D07" w:rsidRDefault="00A77D07" w:rsidP="00A77D07">
      <w:pPr>
        <w:rPr>
          <w:rFonts w:ascii="Arial" w:hAnsi="Arial" w:cs="Arial"/>
          <w:sz w:val="24"/>
          <w:szCs w:val="24"/>
        </w:rPr>
      </w:pPr>
    </w:p>
    <w:p w:rsidR="00A77D07" w:rsidRPr="00A77D07" w:rsidRDefault="00A77D07" w:rsidP="00A77D07">
      <w:pPr>
        <w:rPr>
          <w:rFonts w:ascii="Arial" w:hAnsi="Arial" w:cs="Arial"/>
          <w:sz w:val="24"/>
          <w:szCs w:val="24"/>
        </w:rPr>
      </w:pPr>
      <w:r w:rsidRPr="00A77D07">
        <w:rPr>
          <w:rFonts w:ascii="Arial" w:hAnsi="Arial" w:cs="Arial"/>
          <w:sz w:val="24"/>
          <w:szCs w:val="24"/>
        </w:rPr>
        <w:t xml:space="preserve">Sheep:  </w:t>
      </w:r>
    </w:p>
    <w:p w:rsidR="00A77D07" w:rsidRPr="00A77D07" w:rsidRDefault="00A77D07" w:rsidP="00A77D07">
      <w:pPr>
        <w:rPr>
          <w:rFonts w:ascii="Arial" w:hAnsi="Arial" w:cs="Arial"/>
          <w:sz w:val="24"/>
          <w:szCs w:val="24"/>
        </w:rPr>
      </w:pPr>
      <w:r w:rsidRPr="00A77D07">
        <w:rPr>
          <w:rFonts w:ascii="Arial" w:hAnsi="Arial" w:cs="Arial"/>
          <w:sz w:val="24"/>
          <w:szCs w:val="24"/>
        </w:rPr>
        <w:t>Meat and offal: 19 days</w:t>
      </w:r>
    </w:p>
    <w:p w:rsidR="00A77D07" w:rsidRPr="00A77D07" w:rsidRDefault="00A77D07" w:rsidP="00A77D07">
      <w:pPr>
        <w:jc w:val="both"/>
        <w:rPr>
          <w:rFonts w:ascii="Arial" w:eastAsia="Segoe UI" w:hAnsi="Arial" w:cs="Arial"/>
          <w:sz w:val="24"/>
          <w:szCs w:val="24"/>
          <w:lang w:val="en-IE"/>
        </w:rPr>
      </w:pPr>
    </w:p>
    <w:p w:rsidR="00A77D07" w:rsidRPr="00A77D07" w:rsidRDefault="00A77D07" w:rsidP="00A77D07">
      <w:pPr>
        <w:jc w:val="both"/>
        <w:rPr>
          <w:rFonts w:ascii="Arial" w:hAnsi="Arial" w:cs="Arial"/>
          <w:b/>
          <w:sz w:val="24"/>
          <w:szCs w:val="24"/>
        </w:rPr>
      </w:pPr>
      <w:r w:rsidRPr="00A77D07">
        <w:rPr>
          <w:rFonts w:ascii="Arial" w:eastAsia="Segoe UI" w:hAnsi="Arial" w:cs="Arial"/>
          <w:sz w:val="24"/>
          <w:szCs w:val="24"/>
          <w:lang w:val="en-IE"/>
        </w:rPr>
        <w:t>Not for use in sheep producing milk for human consumption.</w:t>
      </w:r>
    </w:p>
    <w:p w:rsidR="00A77D07" w:rsidRPr="00A77D07" w:rsidRDefault="00A77D07" w:rsidP="00A77D07">
      <w:pPr>
        <w:jc w:val="both"/>
        <w:rPr>
          <w:rFonts w:ascii="Arial" w:hAnsi="Arial" w:cs="Arial"/>
          <w:b/>
          <w:sz w:val="24"/>
          <w:szCs w:val="24"/>
        </w:rPr>
      </w:pPr>
    </w:p>
    <w:p w:rsidR="00A77D07" w:rsidRPr="00A77D07" w:rsidRDefault="00A77D07" w:rsidP="00A77D07">
      <w:pPr>
        <w:jc w:val="both"/>
        <w:rPr>
          <w:rFonts w:ascii="Arial" w:hAnsi="Arial" w:cs="Arial"/>
          <w:b/>
          <w:sz w:val="24"/>
          <w:szCs w:val="24"/>
        </w:rPr>
      </w:pPr>
    </w:p>
    <w:p w:rsidR="00A77D07" w:rsidRPr="00A77D07" w:rsidRDefault="00A77D07" w:rsidP="00A77D07">
      <w:pPr>
        <w:jc w:val="both"/>
        <w:rPr>
          <w:rFonts w:ascii="Arial" w:hAnsi="Arial" w:cs="Arial"/>
          <w:b/>
          <w:sz w:val="24"/>
          <w:szCs w:val="24"/>
        </w:rPr>
      </w:pPr>
      <w:r w:rsidRPr="00A77D07">
        <w:rPr>
          <w:rFonts w:ascii="Arial" w:hAnsi="Arial" w:cs="Arial"/>
          <w:b/>
          <w:sz w:val="24"/>
          <w:szCs w:val="24"/>
        </w:rPr>
        <w:t>5.</w:t>
      </w:r>
      <w:r w:rsidRPr="00A77D07">
        <w:rPr>
          <w:rFonts w:ascii="Arial" w:hAnsi="Arial" w:cs="Arial"/>
          <w:b/>
          <w:sz w:val="24"/>
          <w:szCs w:val="24"/>
        </w:rPr>
        <w:tab/>
        <w:t>PHARMACOLOGICAL PROPERTIES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jc w:val="both"/>
        <w:rPr>
          <w:rFonts w:ascii="Arial" w:hAnsi="Arial" w:cs="Arial"/>
          <w:sz w:val="24"/>
          <w:szCs w:val="24"/>
        </w:rPr>
      </w:pPr>
      <w:r w:rsidRPr="00A77D07">
        <w:rPr>
          <w:rFonts w:ascii="Arial" w:hAnsi="Arial" w:cs="Arial"/>
          <w:sz w:val="24"/>
          <w:szCs w:val="24"/>
        </w:rPr>
        <w:t>Pharmacotherapeutic group: Antibacterials for systemic use, penicillins with extended spectrum.</w:t>
      </w:r>
    </w:p>
    <w:p w:rsidR="00A77D07" w:rsidRPr="00A77D07" w:rsidRDefault="00A77D07" w:rsidP="00A77D07">
      <w:pPr>
        <w:jc w:val="both"/>
        <w:rPr>
          <w:rFonts w:ascii="Arial" w:hAnsi="Arial" w:cs="Arial"/>
          <w:sz w:val="24"/>
          <w:szCs w:val="24"/>
        </w:rPr>
      </w:pPr>
    </w:p>
    <w:p w:rsidR="00A77D07" w:rsidRPr="00A77D07" w:rsidRDefault="00A77D07" w:rsidP="00A77D07">
      <w:pPr>
        <w:jc w:val="both"/>
        <w:rPr>
          <w:rFonts w:ascii="Arial" w:hAnsi="Arial" w:cs="Arial"/>
          <w:sz w:val="24"/>
          <w:szCs w:val="24"/>
        </w:rPr>
      </w:pPr>
      <w:r w:rsidRPr="00A77D07">
        <w:rPr>
          <w:rFonts w:ascii="Arial" w:hAnsi="Arial" w:cs="Arial"/>
          <w:sz w:val="24"/>
          <w:szCs w:val="24"/>
        </w:rPr>
        <w:t>ATC vet code:  QJ01CA04</w:t>
      </w:r>
    </w:p>
    <w:p w:rsidR="00A77D07" w:rsidRPr="00A77D07" w:rsidRDefault="00A77D07" w:rsidP="00A77D07">
      <w:pPr>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5.1</w:t>
      </w:r>
      <w:r w:rsidRPr="00A77D07">
        <w:rPr>
          <w:rFonts w:ascii="Arial" w:hAnsi="Arial" w:cs="Arial"/>
          <w:b/>
          <w:sz w:val="24"/>
          <w:szCs w:val="24"/>
        </w:rPr>
        <w:tab/>
        <w:t xml:space="preserve">Pharmacodynamic properties </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Amoxicillin is a broad-spectrum antibiotic of the β-lactam family belonging to the aminopenicillin group. This substance has time-dependent bactericidal activity and acts against Gram-positive and some Gram-negative microorganisms. </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The mechanism of antibacterial action of amoxicillin is the inhibition of the biochemical processes of bacterial cell wall synthesis by an irreversible and selective inhibition of various enzymes involved in these processes, mainly transpeptidases, endopeptidases and carboxypeptidases. Inadequate synthesis of the bacterial wall in susceptible species produces an osmotic imbalance that particularly affects the growth of bacteria (when the processes of bacterial wall synthesis are particularly important), eventually leading to lysis of the bacterial cell.</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Species considered to be susceptible to amoxicillin include Gram-positive bacteria: </w:t>
      </w:r>
      <w:r w:rsidRPr="00A77D07">
        <w:rPr>
          <w:rFonts w:ascii="Arial" w:hAnsi="Arial" w:cs="Arial"/>
          <w:i/>
          <w:sz w:val="24"/>
          <w:szCs w:val="24"/>
        </w:rPr>
        <w:t>Streptococcus</w:t>
      </w:r>
      <w:r w:rsidRPr="00A77D07">
        <w:rPr>
          <w:rFonts w:ascii="Arial" w:hAnsi="Arial" w:cs="Arial"/>
          <w:sz w:val="24"/>
          <w:szCs w:val="24"/>
        </w:rPr>
        <w:t xml:space="preserve"> spp, and Gram-negative bacteria: </w:t>
      </w:r>
      <w:r w:rsidRPr="00A77D07">
        <w:rPr>
          <w:rFonts w:ascii="Arial" w:hAnsi="Arial" w:cs="Arial"/>
          <w:i/>
          <w:sz w:val="24"/>
          <w:szCs w:val="24"/>
        </w:rPr>
        <w:t>Pasteurellaceae</w:t>
      </w:r>
      <w:r w:rsidRPr="00A77D07">
        <w:rPr>
          <w:rFonts w:ascii="Arial" w:hAnsi="Arial" w:cs="Arial"/>
          <w:sz w:val="24"/>
          <w:szCs w:val="24"/>
        </w:rPr>
        <w:t xml:space="preserve"> and </w:t>
      </w:r>
      <w:r w:rsidRPr="00A77D07">
        <w:rPr>
          <w:rFonts w:ascii="Arial" w:hAnsi="Arial" w:cs="Arial"/>
          <w:i/>
          <w:sz w:val="24"/>
          <w:szCs w:val="24"/>
        </w:rPr>
        <w:t>Enterobacteriaceae</w:t>
      </w:r>
      <w:r w:rsidRPr="00A77D07">
        <w:rPr>
          <w:rFonts w:ascii="Arial" w:hAnsi="Arial" w:cs="Arial"/>
          <w:sz w:val="24"/>
          <w:szCs w:val="24"/>
        </w:rPr>
        <w:t xml:space="preserve"> including strains of </w:t>
      </w:r>
      <w:r w:rsidRPr="00A77D07">
        <w:rPr>
          <w:rFonts w:ascii="Arial" w:hAnsi="Arial" w:cs="Arial"/>
          <w:i/>
          <w:sz w:val="24"/>
          <w:szCs w:val="24"/>
        </w:rPr>
        <w:t>E. coli</w:t>
      </w:r>
      <w:r w:rsidRPr="00A77D07">
        <w:rPr>
          <w:rFonts w:ascii="Arial" w:hAnsi="Arial" w:cs="Arial"/>
          <w:sz w:val="24"/>
          <w:szCs w:val="24"/>
        </w:rPr>
        <w:t>.</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Bacteria normally resistant to amoxicillin are Penicillinase-producing staphylococci, certain </w:t>
      </w:r>
      <w:r w:rsidRPr="00A77D07">
        <w:rPr>
          <w:rFonts w:ascii="Arial" w:hAnsi="Arial" w:cs="Arial"/>
          <w:i/>
          <w:sz w:val="24"/>
          <w:szCs w:val="24"/>
        </w:rPr>
        <w:t>Enterobacteriaceae</w:t>
      </w:r>
      <w:r w:rsidRPr="00A77D07">
        <w:rPr>
          <w:rFonts w:ascii="Arial" w:hAnsi="Arial" w:cs="Arial"/>
          <w:sz w:val="24"/>
          <w:szCs w:val="24"/>
        </w:rPr>
        <w:t xml:space="preserve"> such as </w:t>
      </w:r>
      <w:r w:rsidRPr="00A77D07">
        <w:rPr>
          <w:rFonts w:ascii="Arial" w:hAnsi="Arial" w:cs="Arial"/>
          <w:i/>
          <w:sz w:val="24"/>
          <w:szCs w:val="24"/>
        </w:rPr>
        <w:t>Klebsiella</w:t>
      </w:r>
      <w:r w:rsidRPr="00A77D07">
        <w:rPr>
          <w:rFonts w:ascii="Arial" w:hAnsi="Arial" w:cs="Arial"/>
          <w:sz w:val="24"/>
          <w:szCs w:val="24"/>
        </w:rPr>
        <w:t xml:space="preserve"> spp., </w:t>
      </w:r>
      <w:r w:rsidRPr="00A77D07">
        <w:rPr>
          <w:rFonts w:ascii="Arial" w:hAnsi="Arial" w:cs="Arial"/>
          <w:i/>
          <w:sz w:val="24"/>
          <w:szCs w:val="24"/>
        </w:rPr>
        <w:t>Enterobacter</w:t>
      </w:r>
      <w:r w:rsidRPr="00A77D07">
        <w:rPr>
          <w:rFonts w:ascii="Arial" w:hAnsi="Arial" w:cs="Arial"/>
          <w:sz w:val="24"/>
          <w:szCs w:val="24"/>
        </w:rPr>
        <w:t xml:space="preserve"> spp., </w:t>
      </w:r>
      <w:r w:rsidRPr="00A77D07">
        <w:rPr>
          <w:rFonts w:ascii="Arial" w:hAnsi="Arial" w:cs="Arial"/>
          <w:i/>
          <w:sz w:val="24"/>
          <w:szCs w:val="24"/>
        </w:rPr>
        <w:t>Proteus</w:t>
      </w:r>
      <w:r w:rsidRPr="00A77D07">
        <w:rPr>
          <w:rFonts w:ascii="Arial" w:hAnsi="Arial" w:cs="Arial"/>
          <w:sz w:val="24"/>
          <w:szCs w:val="24"/>
        </w:rPr>
        <w:t xml:space="preserve"> spp. and other Gram-negative bacteria such as </w:t>
      </w:r>
      <w:r w:rsidRPr="00A77D07">
        <w:rPr>
          <w:rFonts w:ascii="Arial" w:hAnsi="Arial" w:cs="Arial"/>
          <w:i/>
          <w:sz w:val="24"/>
          <w:szCs w:val="24"/>
        </w:rPr>
        <w:t>Pseudomonas aeruginosa</w:t>
      </w:r>
      <w:r w:rsidRPr="00A77D07">
        <w:rPr>
          <w:rFonts w:ascii="Arial" w:hAnsi="Arial" w:cs="Arial"/>
          <w:sz w:val="24"/>
          <w:szCs w:val="24"/>
        </w:rPr>
        <w:t>.</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There are three main mechanisms of resistance to beta-lactams: beta-lactamase production, altered expression and/or modification of penicillin binding proteins (PBP), and decreased penetration of the outer membrane. One of the most important is the inactivation of penicillin by beta-lactamase enzymes produced by certain bacteria. These enzymes are capable of cleaving the beta-lactam ring of penicillins, making them inactive. The beta-lactamase could be encoded in chromosomal or plasmidic genes.</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Acquired resistances are frequent for Gram-negative bacteria such as </w:t>
      </w:r>
      <w:r w:rsidRPr="00A77D07">
        <w:rPr>
          <w:rFonts w:ascii="Arial" w:hAnsi="Arial" w:cs="Arial"/>
          <w:i/>
          <w:sz w:val="24"/>
          <w:szCs w:val="24"/>
        </w:rPr>
        <w:t xml:space="preserve">E. coli </w:t>
      </w:r>
      <w:r w:rsidRPr="00A77D07">
        <w:rPr>
          <w:rFonts w:ascii="Arial" w:hAnsi="Arial" w:cs="Arial"/>
          <w:sz w:val="24"/>
          <w:szCs w:val="24"/>
        </w:rPr>
        <w:t>which produce different types of β-lactamases that remain in the periplasmic space. Cross-resistance is observed between amoxicillin and other penicillins, particularly with aminopenicillins.</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The use of extended spectrum beta-lactam drugs (e.g. aminopenicillins) might lead to the selection of multi-resistant bacterial phenotypes (e.g. those producing extended spectrum beta-lactamases (ESBLs)).</w:t>
      </w:r>
    </w:p>
    <w:p w:rsidR="00A77D07" w:rsidRDefault="00A77D07" w:rsidP="00A77D07">
      <w:pPr>
        <w:tabs>
          <w:tab w:val="clear" w:pos="567"/>
        </w:tabs>
        <w:spacing w:line="240" w:lineRule="auto"/>
        <w:jc w:val="both"/>
        <w:rPr>
          <w:rFonts w:ascii="Arial" w:hAnsi="Arial" w:cs="Arial"/>
          <w:sz w:val="24"/>
          <w:szCs w:val="24"/>
        </w:rPr>
      </w:pPr>
    </w:p>
    <w:p w:rsid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5.2</w:t>
      </w:r>
      <w:r w:rsidRPr="00A77D07">
        <w:rPr>
          <w:rFonts w:ascii="Arial" w:hAnsi="Arial" w:cs="Arial"/>
          <w:b/>
          <w:sz w:val="24"/>
          <w:szCs w:val="24"/>
        </w:rPr>
        <w:tab/>
        <w:t>Pharmacokinetic particulars</w:t>
      </w:r>
    </w:p>
    <w:p w:rsidR="00A77D07" w:rsidRPr="00A77D07" w:rsidRDefault="00A77D07" w:rsidP="00A77D07">
      <w:pPr>
        <w:jc w:val="both"/>
        <w:rPr>
          <w:rFonts w:ascii="Arial" w:hAnsi="Arial" w:cs="Arial"/>
          <w:sz w:val="24"/>
          <w:szCs w:val="24"/>
        </w:rPr>
      </w:pPr>
    </w:p>
    <w:p w:rsidR="00A77D07" w:rsidRPr="00A77D07" w:rsidRDefault="00A77D07" w:rsidP="00A77D07">
      <w:pPr>
        <w:tabs>
          <w:tab w:val="left" w:pos="540"/>
        </w:tabs>
        <w:rPr>
          <w:rFonts w:ascii="Arial" w:hAnsi="Arial" w:cs="Arial"/>
          <w:i/>
          <w:sz w:val="24"/>
          <w:szCs w:val="24"/>
        </w:rPr>
      </w:pPr>
      <w:bookmarkStart w:id="5" w:name="_Hlk536083885"/>
      <w:r w:rsidRPr="00A77D07">
        <w:rPr>
          <w:rFonts w:ascii="Arial" w:hAnsi="Arial" w:cs="Arial"/>
          <w:i/>
          <w:sz w:val="24"/>
          <w:szCs w:val="24"/>
        </w:rPr>
        <w:t>Amoxicillin is mainly distributed to the extra-cellular compartment. Its distribution into tissues is facilitated by its low degree of plasma protein binding. Concentrations in pulmonary, pleural and bronchial tissues are similar to plasma concentrations. Amoxicillin diffuses into pleural and synovial fluid and into lymphatic tissue.</w:t>
      </w:r>
    </w:p>
    <w:p w:rsidR="00A77D07" w:rsidRPr="00A77D07" w:rsidRDefault="00A77D07" w:rsidP="00A77D07">
      <w:pPr>
        <w:tabs>
          <w:tab w:val="left" w:pos="540"/>
        </w:tabs>
        <w:rPr>
          <w:rFonts w:ascii="Arial" w:hAnsi="Arial" w:cs="Arial"/>
          <w:i/>
          <w:sz w:val="24"/>
          <w:szCs w:val="24"/>
        </w:rPr>
      </w:pPr>
      <w:r w:rsidRPr="00A77D07">
        <w:rPr>
          <w:rFonts w:ascii="Arial" w:hAnsi="Arial" w:cs="Arial"/>
          <w:i/>
          <w:sz w:val="24"/>
          <w:szCs w:val="24"/>
        </w:rPr>
        <w:t>A small proportion of amoxicillin (around 20%) is biotransformed in the liver by hydrolysis of the ß-lactam ring leading to inactive penicilloic acid.</w:t>
      </w:r>
    </w:p>
    <w:p w:rsidR="00A77D07" w:rsidRPr="00A77D07" w:rsidRDefault="00A77D07" w:rsidP="00A77D07">
      <w:pPr>
        <w:pStyle w:val="BodyText"/>
        <w:spacing w:before="5"/>
        <w:rPr>
          <w:rFonts w:ascii="Arial" w:hAnsi="Arial" w:cs="Arial"/>
          <w:sz w:val="24"/>
          <w:szCs w:val="24"/>
        </w:rPr>
      </w:pPr>
      <w:r w:rsidRPr="00A77D07">
        <w:rPr>
          <w:rFonts w:ascii="Arial" w:hAnsi="Arial" w:cs="Arial"/>
          <w:i/>
          <w:sz w:val="24"/>
          <w:szCs w:val="24"/>
        </w:rPr>
        <w:t>Amoxicillin is mainly excreted in active form via the kidneys, and secondarily by the biliary route and through milk.</w:t>
      </w:r>
    </w:p>
    <w:bookmarkEnd w:id="5"/>
    <w:p w:rsidR="00A77D07" w:rsidRPr="00A77D07" w:rsidRDefault="00A77D07" w:rsidP="00A77D07">
      <w:pPr>
        <w:pStyle w:val="BodyText"/>
        <w:spacing w:before="5"/>
        <w:rPr>
          <w:rFonts w:ascii="Arial" w:hAnsi="Arial" w:cs="Arial"/>
          <w:sz w:val="24"/>
          <w:szCs w:val="24"/>
        </w:rPr>
      </w:pPr>
    </w:p>
    <w:p w:rsidR="00A77D07" w:rsidRPr="00A77D07" w:rsidRDefault="00A77D07" w:rsidP="00A77D07">
      <w:pPr>
        <w:pStyle w:val="BodyText"/>
        <w:spacing w:before="5"/>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sz w:val="24"/>
          <w:szCs w:val="24"/>
        </w:rPr>
        <w:t>6.</w:t>
      </w:r>
      <w:r w:rsidRPr="00A77D07">
        <w:rPr>
          <w:rFonts w:ascii="Arial" w:hAnsi="Arial" w:cs="Arial"/>
          <w:b/>
          <w:sz w:val="24"/>
          <w:szCs w:val="24"/>
        </w:rPr>
        <w:tab/>
        <w:t>PHARMACEUTICAL PARTICULARS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6.1</w:t>
      </w:r>
      <w:r w:rsidRPr="00A77D07">
        <w:rPr>
          <w:rFonts w:ascii="Arial" w:hAnsi="Arial" w:cs="Arial"/>
          <w:b/>
          <w:sz w:val="24"/>
          <w:szCs w:val="24"/>
        </w:rPr>
        <w:tab/>
        <w:t>List of excipients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Aluminium distearate</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Propylene glycol dicaprylocaprate</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sz w:val="24"/>
          <w:szCs w:val="24"/>
        </w:rPr>
        <w:t>6.2</w:t>
      </w:r>
      <w:r w:rsidRPr="00A77D07">
        <w:rPr>
          <w:rFonts w:ascii="Arial" w:hAnsi="Arial" w:cs="Arial"/>
          <w:b/>
          <w:sz w:val="24"/>
          <w:szCs w:val="24"/>
        </w:rPr>
        <w:tab/>
        <w:t>Major incompatibilities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bCs/>
          <w:sz w:val="24"/>
          <w:szCs w:val="24"/>
          <w:lang w:val="fi-FI" w:eastAsia="fi-FI"/>
        </w:rPr>
        <w:t>In the absence of compatibility studies, this veterinary medicinal product must not be mixed with other veterinary medicinal products.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sz w:val="24"/>
          <w:szCs w:val="24"/>
        </w:rPr>
        <w:t>6.3</w:t>
      </w:r>
      <w:r w:rsidRPr="00A77D07">
        <w:rPr>
          <w:rFonts w:ascii="Arial" w:hAnsi="Arial" w:cs="Arial"/>
          <w:b/>
          <w:sz w:val="24"/>
          <w:szCs w:val="24"/>
        </w:rPr>
        <w:tab/>
        <w:t>Shelf life</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pacing w:val="-4"/>
          <w:sz w:val="24"/>
          <w:szCs w:val="24"/>
        </w:rPr>
      </w:pPr>
      <w:r w:rsidRPr="00A77D07">
        <w:rPr>
          <w:rFonts w:ascii="Arial" w:hAnsi="Arial" w:cs="Arial"/>
          <w:spacing w:val="-4"/>
          <w:sz w:val="24"/>
          <w:szCs w:val="24"/>
        </w:rPr>
        <w:t>Shelf life of the veterinary medicinal product as packaged for sale: 2 years</w:t>
      </w:r>
    </w:p>
    <w:p w:rsidR="00A77D07" w:rsidRPr="00A77D07" w:rsidRDefault="00A77D07" w:rsidP="00A77D07">
      <w:pPr>
        <w:tabs>
          <w:tab w:val="clear" w:pos="567"/>
        </w:tabs>
        <w:spacing w:line="240" w:lineRule="auto"/>
        <w:jc w:val="both"/>
        <w:rPr>
          <w:rFonts w:ascii="Arial" w:hAnsi="Arial" w:cs="Arial"/>
          <w:spacing w:val="-4"/>
          <w:sz w:val="24"/>
          <w:szCs w:val="24"/>
        </w:rPr>
      </w:pPr>
      <w:r w:rsidRPr="00A77D07">
        <w:rPr>
          <w:rFonts w:ascii="Arial" w:hAnsi="Arial" w:cs="Arial"/>
          <w:spacing w:val="-4"/>
          <w:sz w:val="24"/>
          <w:szCs w:val="24"/>
        </w:rPr>
        <w:t>Shelf life after first opening the immediate packaging: 28 days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sz w:val="24"/>
          <w:szCs w:val="24"/>
        </w:rPr>
        <w:t>6.4</w:t>
      </w:r>
      <w:r w:rsidRPr="00A77D07">
        <w:rPr>
          <w:rFonts w:ascii="Arial" w:hAnsi="Arial" w:cs="Arial"/>
          <w:b/>
          <w:sz w:val="24"/>
          <w:szCs w:val="24"/>
        </w:rPr>
        <w:tab/>
        <w:t>Special precautions for storage</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 xml:space="preserve">Do not store above 25ºC. </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Protect from light.</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sz w:val="24"/>
          <w:szCs w:val="24"/>
        </w:rPr>
        <w:t>6.5</w:t>
      </w:r>
      <w:r w:rsidRPr="00A77D07">
        <w:rPr>
          <w:rFonts w:ascii="Arial" w:hAnsi="Arial" w:cs="Arial"/>
          <w:b/>
          <w:sz w:val="24"/>
          <w:szCs w:val="24"/>
        </w:rPr>
        <w:tab/>
        <w:t xml:space="preserve">Nature and </w:t>
      </w:r>
      <w:r w:rsidRPr="00A77D07">
        <w:rPr>
          <w:rFonts w:ascii="Arial" w:hAnsi="Arial" w:cs="Arial"/>
          <w:b/>
          <w:bCs/>
          <w:sz w:val="24"/>
          <w:szCs w:val="24"/>
        </w:rPr>
        <w:t>composition of immediate packaging</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50 ml, 100 ml and 250 ml clear, colourless Type II glass vial, closed with nitrile rubber bung and aluminium overseal.</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100 ml and 250 ml clear polyethylene terephthalate vial sealed with nitrile bung and aluminium overseal.</w:t>
      </w:r>
    </w:p>
    <w:p w:rsidR="00A77D07" w:rsidRPr="00A77D07" w:rsidRDefault="00A77D07" w:rsidP="00A77D07">
      <w:pPr>
        <w:tabs>
          <w:tab w:val="clear" w:pos="567"/>
        </w:tabs>
        <w:spacing w:line="240" w:lineRule="auto"/>
        <w:rPr>
          <w:rFonts w:ascii="Arial" w:eastAsia="Segoe UI" w:hAnsi="Arial" w:cs="Arial"/>
          <w:sz w:val="24"/>
          <w:szCs w:val="24"/>
          <w:lang w:val="en-IE"/>
        </w:rPr>
      </w:pP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Pack Sizes</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50 ml vial</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100 ml vial</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250 ml vial</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12 x 50 ml vials</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12 x 100 ml vials</w:t>
      </w:r>
    </w:p>
    <w:p w:rsidR="00A77D07" w:rsidRPr="00A77D07" w:rsidRDefault="00A77D07" w:rsidP="00A77D07">
      <w:pPr>
        <w:tabs>
          <w:tab w:val="clear" w:pos="567"/>
        </w:tabs>
        <w:spacing w:line="240" w:lineRule="auto"/>
        <w:rPr>
          <w:rFonts w:ascii="Arial" w:eastAsia="Segoe UI" w:hAnsi="Arial" w:cs="Arial"/>
          <w:sz w:val="24"/>
          <w:szCs w:val="24"/>
          <w:lang w:val="en-IE"/>
        </w:rPr>
      </w:pPr>
      <w:r w:rsidRPr="00A77D07">
        <w:rPr>
          <w:rFonts w:ascii="Arial" w:eastAsia="Segoe UI" w:hAnsi="Arial" w:cs="Arial"/>
          <w:sz w:val="24"/>
          <w:szCs w:val="24"/>
          <w:lang w:val="en-IE"/>
        </w:rPr>
        <w:t>6 x 250 ml vials</w:t>
      </w:r>
    </w:p>
    <w:p w:rsidR="00A77D07" w:rsidRPr="00A77D07" w:rsidRDefault="00A77D07" w:rsidP="00A77D07">
      <w:pPr>
        <w:tabs>
          <w:tab w:val="clear" w:pos="567"/>
        </w:tabs>
        <w:spacing w:line="240" w:lineRule="auto"/>
        <w:rPr>
          <w:rFonts w:ascii="Arial" w:eastAsia="Segoe UI" w:hAnsi="Arial" w:cs="Arial"/>
          <w:sz w:val="24"/>
          <w:szCs w:val="24"/>
          <w:lang w:val="en-IE"/>
        </w:rPr>
      </w:pPr>
    </w:p>
    <w:p w:rsidR="00A77D07" w:rsidRPr="00A77D07" w:rsidRDefault="00A77D07" w:rsidP="00A77D07">
      <w:pPr>
        <w:tabs>
          <w:tab w:val="clear" w:pos="567"/>
        </w:tabs>
        <w:spacing w:line="240" w:lineRule="auto"/>
        <w:ind w:left="567" w:hanging="567"/>
        <w:rPr>
          <w:rFonts w:ascii="Arial" w:eastAsia="Segoe UI" w:hAnsi="Arial" w:cs="Arial"/>
          <w:sz w:val="24"/>
          <w:szCs w:val="24"/>
          <w:lang w:val="en-IE"/>
        </w:rPr>
      </w:pPr>
      <w:r w:rsidRPr="00A77D07">
        <w:rPr>
          <w:rFonts w:ascii="Arial" w:eastAsia="Segoe UI" w:hAnsi="Arial" w:cs="Arial"/>
          <w:sz w:val="24"/>
          <w:szCs w:val="24"/>
          <w:lang w:val="en-IE"/>
        </w:rPr>
        <w:t>Not all pack sizes may be marketed</w:t>
      </w:r>
    </w:p>
    <w:p w:rsidR="00A77D07" w:rsidRDefault="00A77D07" w:rsidP="00A77D07">
      <w:pPr>
        <w:tabs>
          <w:tab w:val="clear" w:pos="567"/>
        </w:tabs>
        <w:spacing w:line="240" w:lineRule="auto"/>
        <w:ind w:left="567" w:hanging="567"/>
        <w:jc w:val="both"/>
        <w:rPr>
          <w:rFonts w:ascii="Arial" w:hAnsi="Arial" w:cs="Arial"/>
          <w:b/>
          <w:sz w:val="24"/>
          <w:szCs w:val="24"/>
        </w:rPr>
      </w:pPr>
    </w:p>
    <w:p w:rsidR="00A77D07" w:rsidRDefault="00A77D07" w:rsidP="00A77D07">
      <w:pPr>
        <w:tabs>
          <w:tab w:val="clear" w:pos="567"/>
        </w:tabs>
        <w:spacing w:line="240" w:lineRule="auto"/>
        <w:ind w:left="567" w:hanging="567"/>
        <w:jc w:val="both"/>
        <w:rPr>
          <w:rFonts w:ascii="Arial" w:hAnsi="Arial" w:cs="Arial"/>
          <w:b/>
          <w:sz w:val="24"/>
          <w:szCs w:val="24"/>
        </w:rPr>
      </w:pPr>
    </w:p>
    <w:p w:rsidR="00A77D07" w:rsidRDefault="00A77D07" w:rsidP="00A77D07">
      <w:pPr>
        <w:tabs>
          <w:tab w:val="clear" w:pos="567"/>
        </w:tabs>
        <w:spacing w:line="240" w:lineRule="auto"/>
        <w:ind w:left="567" w:hanging="567"/>
        <w:jc w:val="both"/>
        <w:rPr>
          <w:rFonts w:ascii="Arial" w:hAnsi="Arial" w:cs="Arial"/>
          <w:b/>
          <w:sz w:val="24"/>
          <w:szCs w:val="24"/>
        </w:rPr>
      </w:pPr>
    </w:p>
    <w:p w:rsidR="00A77D07" w:rsidRDefault="00A77D07" w:rsidP="00A77D07">
      <w:pPr>
        <w:tabs>
          <w:tab w:val="clear" w:pos="567"/>
        </w:tabs>
        <w:spacing w:line="240" w:lineRule="auto"/>
        <w:ind w:left="567" w:hanging="567"/>
        <w:jc w:val="both"/>
        <w:rPr>
          <w:rFonts w:ascii="Arial" w:hAnsi="Arial" w:cs="Arial"/>
          <w:b/>
          <w:sz w:val="24"/>
          <w:szCs w:val="24"/>
        </w:rPr>
      </w:pPr>
    </w:p>
    <w:p w:rsidR="00A77D07" w:rsidRPr="00A77D07" w:rsidRDefault="00A77D07" w:rsidP="00A77D07">
      <w:pPr>
        <w:tabs>
          <w:tab w:val="clear" w:pos="567"/>
        </w:tabs>
        <w:spacing w:line="240" w:lineRule="auto"/>
        <w:ind w:left="567" w:hanging="567"/>
        <w:jc w:val="both"/>
        <w:rPr>
          <w:rFonts w:ascii="Arial" w:hAnsi="Arial" w:cs="Arial"/>
          <w:b/>
          <w:sz w:val="24"/>
          <w:szCs w:val="24"/>
        </w:rPr>
      </w:pPr>
    </w:p>
    <w:p w:rsidR="00A77D07" w:rsidRPr="00A77D07" w:rsidRDefault="00A77D07" w:rsidP="00A77D07">
      <w:pPr>
        <w:tabs>
          <w:tab w:val="clear" w:pos="567"/>
        </w:tabs>
        <w:spacing w:line="240" w:lineRule="auto"/>
        <w:ind w:left="567" w:hanging="567"/>
        <w:jc w:val="both"/>
        <w:rPr>
          <w:rFonts w:ascii="Arial" w:hAnsi="Arial" w:cs="Arial"/>
          <w:sz w:val="24"/>
          <w:szCs w:val="24"/>
        </w:rPr>
      </w:pPr>
      <w:r w:rsidRPr="00A77D07">
        <w:rPr>
          <w:rFonts w:ascii="Arial" w:hAnsi="Arial" w:cs="Arial"/>
          <w:b/>
          <w:sz w:val="24"/>
          <w:szCs w:val="24"/>
        </w:rPr>
        <w:t>6.6</w:t>
      </w:r>
      <w:r w:rsidRPr="00A77D07">
        <w:rPr>
          <w:rFonts w:ascii="Arial" w:hAnsi="Arial" w:cs="Arial"/>
          <w:sz w:val="24"/>
          <w:szCs w:val="24"/>
        </w:rPr>
        <w:tab/>
      </w:r>
      <w:r w:rsidRPr="00A77D07">
        <w:rPr>
          <w:rFonts w:ascii="Arial" w:hAnsi="Arial" w:cs="Arial"/>
          <w:b/>
          <w:sz w:val="24"/>
          <w:szCs w:val="24"/>
        </w:rPr>
        <w:t>Special precautions for the disposal of unused veterinary medicinal product or waste materials derived from the use of such products</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jc w:val="both"/>
        <w:rPr>
          <w:rFonts w:ascii="Arial" w:hAnsi="Arial" w:cs="Arial"/>
          <w:sz w:val="24"/>
          <w:szCs w:val="24"/>
        </w:rPr>
      </w:pPr>
      <w:r w:rsidRPr="00A77D07">
        <w:rPr>
          <w:rFonts w:ascii="Arial" w:hAnsi="Arial" w:cs="Arial"/>
          <w:sz w:val="24"/>
          <w:szCs w:val="24"/>
        </w:rPr>
        <w:t>Any unused veterinary medicinal product or waste materials derived from such veterinary medicinal product should be disposed of in accordance with local requirements.</w:t>
      </w:r>
    </w:p>
    <w:p w:rsid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hAnsi="Arial" w:cs="Arial"/>
          <w:b/>
          <w:sz w:val="24"/>
          <w:szCs w:val="24"/>
        </w:rPr>
      </w:pPr>
      <w:r w:rsidRPr="00A77D07">
        <w:rPr>
          <w:rFonts w:ascii="Arial" w:hAnsi="Arial" w:cs="Arial"/>
          <w:b/>
          <w:sz w:val="24"/>
          <w:szCs w:val="24"/>
        </w:rPr>
        <w:t>7.</w:t>
      </w:r>
      <w:r w:rsidRPr="00A77D07">
        <w:rPr>
          <w:rFonts w:ascii="Arial" w:hAnsi="Arial" w:cs="Arial"/>
          <w:b/>
          <w:sz w:val="24"/>
          <w:szCs w:val="24"/>
        </w:rPr>
        <w:tab/>
        <w:t>MARKETING AUTHORISATION HOLDER</w:t>
      </w:r>
    </w:p>
    <w:p w:rsidR="00A77D07" w:rsidRPr="00A77D07" w:rsidRDefault="00A77D07" w:rsidP="00A77D07">
      <w:pPr>
        <w:tabs>
          <w:tab w:val="clear" w:pos="567"/>
        </w:tabs>
        <w:spacing w:line="240" w:lineRule="auto"/>
        <w:jc w:val="both"/>
        <w:rPr>
          <w:rFonts w:ascii="Arial" w:hAnsi="Arial" w:cs="Arial"/>
          <w:b/>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Univet Ltd</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Tullyvin</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Cootehill</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Co. Cavan</w:t>
      </w:r>
    </w:p>
    <w:p w:rsidR="00A77D07" w:rsidRPr="00A77D07" w:rsidRDefault="00A77D07" w:rsidP="00A77D07">
      <w:pPr>
        <w:tabs>
          <w:tab w:val="clear" w:pos="567"/>
        </w:tabs>
        <w:spacing w:line="240" w:lineRule="auto"/>
        <w:jc w:val="both"/>
        <w:rPr>
          <w:rFonts w:ascii="Arial" w:hAnsi="Arial" w:cs="Arial"/>
          <w:sz w:val="24"/>
          <w:szCs w:val="24"/>
        </w:rPr>
      </w:pPr>
      <w:r w:rsidRPr="00A77D07">
        <w:rPr>
          <w:rFonts w:ascii="Arial" w:hAnsi="Arial" w:cs="Arial"/>
          <w:sz w:val="24"/>
          <w:szCs w:val="24"/>
        </w:rPr>
        <w:t>Ireland</w:t>
      </w:r>
    </w:p>
    <w:p w:rsid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b/>
          <w:sz w:val="24"/>
          <w:szCs w:val="24"/>
        </w:rPr>
        <w:t>8.</w:t>
      </w:r>
      <w:r w:rsidRPr="00A77D07">
        <w:rPr>
          <w:rFonts w:ascii="Arial" w:hAnsi="Arial" w:cs="Arial"/>
          <w:b/>
          <w:sz w:val="24"/>
          <w:szCs w:val="24"/>
        </w:rPr>
        <w:tab/>
        <w:t>MARKETING AUTHORISATION NUMBER</w:t>
      </w:r>
    </w:p>
    <w:p w:rsidR="00A77D07" w:rsidRPr="00A77D07" w:rsidRDefault="00A77D07" w:rsidP="00A77D07">
      <w:pPr>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r>
        <w:rPr>
          <w:rFonts w:ascii="Arial" w:hAnsi="Arial" w:cs="Arial"/>
          <w:sz w:val="24"/>
          <w:szCs w:val="24"/>
        </w:rPr>
        <w:t xml:space="preserve">Vm </w:t>
      </w:r>
      <w:r w:rsidRPr="00A77D07">
        <w:rPr>
          <w:rFonts w:ascii="Arial" w:hAnsi="Arial" w:cs="Arial"/>
          <w:sz w:val="24"/>
          <w:szCs w:val="24"/>
        </w:rPr>
        <w:t>05150/4008</w:t>
      </w:r>
    </w:p>
    <w:p w:rsid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Default="00A77D07" w:rsidP="00A77D07">
      <w:pPr>
        <w:tabs>
          <w:tab w:val="clear" w:pos="567"/>
        </w:tabs>
        <w:spacing w:line="240" w:lineRule="auto"/>
        <w:rPr>
          <w:rFonts w:ascii="Arial" w:hAnsi="Arial" w:cs="Arial"/>
          <w:b/>
          <w:sz w:val="24"/>
          <w:szCs w:val="24"/>
        </w:rPr>
      </w:pPr>
      <w:r w:rsidRPr="00A77D07">
        <w:rPr>
          <w:rFonts w:ascii="Arial" w:hAnsi="Arial" w:cs="Arial"/>
          <w:b/>
          <w:sz w:val="24"/>
          <w:szCs w:val="24"/>
        </w:rPr>
        <w:t>9.</w:t>
      </w:r>
      <w:r w:rsidRPr="00A77D07">
        <w:rPr>
          <w:rFonts w:ascii="Arial" w:hAnsi="Arial" w:cs="Arial"/>
          <w:b/>
          <w:sz w:val="24"/>
          <w:szCs w:val="24"/>
        </w:rPr>
        <w:tab/>
        <w:t>DATE OF FIRST AUTHORISATION</w:t>
      </w:r>
    </w:p>
    <w:p w:rsidR="00A77D07" w:rsidRPr="00A77D07" w:rsidRDefault="00A77D07" w:rsidP="00A77D07">
      <w:pPr>
        <w:tabs>
          <w:tab w:val="clear" w:pos="567"/>
        </w:tabs>
        <w:spacing w:line="240" w:lineRule="auto"/>
        <w:rPr>
          <w:rFonts w:ascii="Arial" w:hAnsi="Arial" w:cs="Arial"/>
          <w:sz w:val="24"/>
          <w:szCs w:val="24"/>
        </w:rPr>
      </w:pPr>
      <w:r w:rsidRPr="00A77D07">
        <w:rPr>
          <w:rFonts w:ascii="Arial" w:hAnsi="Arial" w:cs="Arial"/>
          <w:sz w:val="24"/>
          <w:szCs w:val="24"/>
        </w:rPr>
        <w:t xml:space="preserve"> </w:t>
      </w:r>
    </w:p>
    <w:p w:rsidR="00A77D07" w:rsidRPr="00A77D07" w:rsidRDefault="00A77D07" w:rsidP="00A77D07">
      <w:pPr>
        <w:jc w:val="both"/>
        <w:rPr>
          <w:rFonts w:ascii="Arial" w:hAnsi="Arial" w:cs="Arial"/>
          <w:sz w:val="24"/>
          <w:szCs w:val="24"/>
        </w:rPr>
      </w:pPr>
      <w:r>
        <w:rPr>
          <w:rFonts w:ascii="Arial" w:hAnsi="Arial" w:cs="Arial"/>
          <w:sz w:val="24"/>
          <w:szCs w:val="24"/>
        </w:rPr>
        <w:t>03 April 2019</w:t>
      </w: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sz w:val="24"/>
          <w:szCs w:val="24"/>
        </w:rPr>
      </w:pPr>
    </w:p>
    <w:p w:rsidR="00A77D07" w:rsidRPr="00A77D07" w:rsidRDefault="00A77D07" w:rsidP="00A77D07">
      <w:pPr>
        <w:tabs>
          <w:tab w:val="clear" w:pos="567"/>
        </w:tabs>
        <w:spacing w:line="240" w:lineRule="auto"/>
        <w:jc w:val="both"/>
        <w:rPr>
          <w:rFonts w:ascii="Arial" w:hAnsi="Arial" w:cs="Arial"/>
          <w:b/>
          <w:sz w:val="24"/>
          <w:szCs w:val="24"/>
        </w:rPr>
      </w:pPr>
      <w:r w:rsidRPr="00A77D07">
        <w:rPr>
          <w:rFonts w:ascii="Arial" w:hAnsi="Arial" w:cs="Arial"/>
          <w:b/>
          <w:sz w:val="24"/>
          <w:szCs w:val="24"/>
        </w:rPr>
        <w:t>10.</w:t>
      </w:r>
      <w:r w:rsidRPr="00A77D07">
        <w:rPr>
          <w:rFonts w:ascii="Arial" w:hAnsi="Arial" w:cs="Arial"/>
          <w:b/>
          <w:sz w:val="24"/>
          <w:szCs w:val="24"/>
        </w:rPr>
        <w:tab/>
        <w:t>DATE OF REVISION OF THE TEXT</w:t>
      </w:r>
    </w:p>
    <w:p w:rsidR="00A77D07" w:rsidRPr="00A77D07" w:rsidRDefault="00A77D07" w:rsidP="00A77D07">
      <w:pPr>
        <w:jc w:val="both"/>
        <w:rPr>
          <w:rFonts w:ascii="Arial" w:hAnsi="Arial" w:cs="Arial"/>
          <w:sz w:val="24"/>
          <w:szCs w:val="24"/>
        </w:rPr>
      </w:pPr>
    </w:p>
    <w:p w:rsidR="00A77D07" w:rsidRPr="00A77D07" w:rsidRDefault="00C32D6D" w:rsidP="00A77D07">
      <w:pPr>
        <w:jc w:val="both"/>
        <w:rPr>
          <w:rFonts w:ascii="Arial" w:hAnsi="Arial" w:cs="Arial"/>
          <w:sz w:val="24"/>
          <w:szCs w:val="24"/>
        </w:rPr>
      </w:pPr>
      <w:r>
        <w:rPr>
          <w:noProof/>
        </w:rPr>
        <w:drawing>
          <wp:anchor distT="0" distB="0" distL="114300" distR="114300" simplePos="0" relativeHeight="251657728" behindDoc="0" locked="0" layoutInCell="1" allowOverlap="1">
            <wp:simplePos x="0" y="0"/>
            <wp:positionH relativeFrom="column">
              <wp:posOffset>4457700</wp:posOffset>
            </wp:positionH>
            <wp:positionV relativeFrom="paragraph">
              <wp:posOffset>20320</wp:posOffset>
            </wp:positionV>
            <wp:extent cx="1195070" cy="7607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D07">
        <w:rPr>
          <w:rFonts w:ascii="Arial" w:hAnsi="Arial" w:cs="Arial"/>
          <w:sz w:val="24"/>
          <w:szCs w:val="24"/>
        </w:rPr>
        <w:t>May 2020</w:t>
      </w:r>
    </w:p>
    <w:p w:rsidR="00A77D07" w:rsidRDefault="00A77D07" w:rsidP="00A77D07">
      <w:pPr>
        <w:tabs>
          <w:tab w:val="clear" w:pos="567"/>
        </w:tabs>
        <w:spacing w:line="240" w:lineRule="auto"/>
        <w:jc w:val="both"/>
        <w:rPr>
          <w:rFonts w:ascii="Arial" w:hAnsi="Arial" w:cs="Arial"/>
          <w:sz w:val="24"/>
          <w:szCs w:val="24"/>
        </w:rPr>
      </w:pPr>
    </w:p>
    <w:p w:rsidR="00655AF6" w:rsidRDefault="00655AF6" w:rsidP="00A77D07">
      <w:pPr>
        <w:tabs>
          <w:tab w:val="clear" w:pos="567"/>
        </w:tabs>
        <w:spacing w:line="240" w:lineRule="auto"/>
        <w:jc w:val="both"/>
        <w:rPr>
          <w:rFonts w:ascii="Arial" w:hAnsi="Arial" w:cs="Arial"/>
          <w:sz w:val="24"/>
          <w:szCs w:val="24"/>
        </w:rPr>
      </w:pPr>
    </w:p>
    <w:p w:rsidR="00655AF6" w:rsidRPr="00A77D07" w:rsidRDefault="00655AF6" w:rsidP="00A77D07">
      <w:pPr>
        <w:tabs>
          <w:tab w:val="clear" w:pos="567"/>
        </w:tabs>
        <w:spacing w:line="240" w:lineRule="auto"/>
        <w:jc w:val="both"/>
        <w:rPr>
          <w:rFonts w:ascii="Arial" w:hAnsi="Arial" w:cs="Arial"/>
          <w:sz w:val="24"/>
          <w:szCs w:val="24"/>
        </w:rPr>
      </w:pPr>
    </w:p>
    <w:bookmarkEnd w:id="1"/>
    <w:p w:rsidR="00A77D07" w:rsidRDefault="00A77D07" w:rsidP="00A77D07">
      <w:pPr>
        <w:tabs>
          <w:tab w:val="clear" w:pos="567"/>
        </w:tabs>
        <w:spacing w:line="240" w:lineRule="auto"/>
        <w:jc w:val="both"/>
        <w:rPr>
          <w:rFonts w:ascii="Arial" w:hAnsi="Arial" w:cs="Arial"/>
          <w:sz w:val="24"/>
          <w:szCs w:val="24"/>
        </w:rPr>
      </w:pPr>
    </w:p>
    <w:p w:rsidR="00655AF6" w:rsidRPr="00A77D07" w:rsidRDefault="00655AF6" w:rsidP="00655AF6">
      <w:pPr>
        <w:tabs>
          <w:tab w:val="clear" w:pos="567"/>
        </w:tabs>
        <w:spacing w:line="240" w:lineRule="auto"/>
        <w:jc w:val="right"/>
        <w:rPr>
          <w:rFonts w:ascii="Arial" w:hAnsi="Arial" w:cs="Arial"/>
          <w:sz w:val="24"/>
          <w:szCs w:val="24"/>
        </w:rPr>
      </w:pPr>
      <w:r>
        <w:rPr>
          <w:rFonts w:ascii="Arial" w:hAnsi="Arial" w:cs="Arial"/>
          <w:sz w:val="24"/>
          <w:szCs w:val="24"/>
        </w:rPr>
        <w:t>Approved: 22 May 2020</w:t>
      </w: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A77D07" w:rsidRPr="00A77D07" w:rsidRDefault="00A77D07" w:rsidP="00A77D07">
      <w:pPr>
        <w:tabs>
          <w:tab w:val="clear" w:pos="567"/>
        </w:tabs>
        <w:spacing w:line="240" w:lineRule="auto"/>
        <w:rPr>
          <w:rFonts w:ascii="Arial" w:hAnsi="Arial" w:cs="Arial"/>
          <w:sz w:val="24"/>
          <w:szCs w:val="24"/>
        </w:rPr>
      </w:pPr>
    </w:p>
    <w:p w:rsidR="00777E06" w:rsidRPr="00A77D07" w:rsidRDefault="00777E06" w:rsidP="00A77D07">
      <w:pPr>
        <w:rPr>
          <w:rFonts w:ascii="Arial" w:hAnsi="Arial" w:cs="Arial"/>
          <w:sz w:val="24"/>
          <w:szCs w:val="24"/>
        </w:rPr>
      </w:pPr>
    </w:p>
    <w:sectPr w:rsidR="00777E06" w:rsidRPr="00A77D07" w:rsidSect="0044259A">
      <w:headerReference w:type="default" r:id="rId9"/>
      <w:footerReference w:type="default" r:id="rId10"/>
      <w:footerReference w:type="first" r:id="rId11"/>
      <w:endnotePr>
        <w:numFmt w:val="decimal"/>
      </w:endnotePr>
      <w:pgSz w:w="11907" w:h="16840" w:code="9"/>
      <w:pgMar w:top="709" w:right="1418" w:bottom="426" w:left="1418" w:header="567"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C2A" w:rsidRDefault="00786C2A">
      <w:r>
        <w:separator/>
      </w:r>
    </w:p>
  </w:endnote>
  <w:endnote w:type="continuationSeparator" w:id="0">
    <w:p w:rsidR="00786C2A" w:rsidRDefault="0078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D0" w:rsidRPr="009F13D0" w:rsidRDefault="009F13D0">
    <w:pPr>
      <w:pStyle w:val="Footer"/>
      <w:jc w:val="center"/>
      <w:rPr>
        <w:rFonts w:ascii="Arial" w:hAnsi="Arial" w:cs="Arial"/>
        <w:sz w:val="20"/>
      </w:rPr>
    </w:pPr>
    <w:r w:rsidRPr="009F13D0">
      <w:rPr>
        <w:rFonts w:ascii="Arial" w:hAnsi="Arial" w:cs="Arial"/>
        <w:sz w:val="20"/>
      </w:rPr>
      <w:t xml:space="preserve">Page </w:t>
    </w:r>
    <w:r w:rsidRPr="009F13D0">
      <w:rPr>
        <w:rFonts w:ascii="Arial" w:hAnsi="Arial" w:cs="Arial"/>
        <w:b/>
        <w:bCs/>
        <w:sz w:val="20"/>
      </w:rPr>
      <w:fldChar w:fldCharType="begin"/>
    </w:r>
    <w:r w:rsidRPr="009F13D0">
      <w:rPr>
        <w:rFonts w:ascii="Arial" w:hAnsi="Arial" w:cs="Arial"/>
        <w:b/>
        <w:bCs/>
        <w:sz w:val="20"/>
      </w:rPr>
      <w:instrText xml:space="preserve"> PAGE </w:instrText>
    </w:r>
    <w:r w:rsidRPr="009F13D0">
      <w:rPr>
        <w:rFonts w:ascii="Arial" w:hAnsi="Arial" w:cs="Arial"/>
        <w:b/>
        <w:bCs/>
        <w:sz w:val="20"/>
      </w:rPr>
      <w:fldChar w:fldCharType="separate"/>
    </w:r>
    <w:r w:rsidR="00D81EF9">
      <w:rPr>
        <w:rFonts w:ascii="Arial" w:hAnsi="Arial" w:cs="Arial"/>
        <w:b/>
        <w:bCs/>
        <w:noProof/>
        <w:sz w:val="20"/>
      </w:rPr>
      <w:t>3</w:t>
    </w:r>
    <w:r w:rsidRPr="009F13D0">
      <w:rPr>
        <w:rFonts w:ascii="Arial" w:hAnsi="Arial" w:cs="Arial"/>
        <w:b/>
        <w:bCs/>
        <w:sz w:val="20"/>
      </w:rPr>
      <w:fldChar w:fldCharType="end"/>
    </w:r>
    <w:r w:rsidRPr="009F13D0">
      <w:rPr>
        <w:rFonts w:ascii="Arial" w:hAnsi="Arial" w:cs="Arial"/>
        <w:sz w:val="20"/>
      </w:rPr>
      <w:t xml:space="preserve"> of </w:t>
    </w:r>
    <w:r w:rsidRPr="009F13D0">
      <w:rPr>
        <w:rFonts w:ascii="Arial" w:hAnsi="Arial" w:cs="Arial"/>
        <w:b/>
        <w:bCs/>
        <w:sz w:val="20"/>
      </w:rPr>
      <w:fldChar w:fldCharType="begin"/>
    </w:r>
    <w:r w:rsidRPr="009F13D0">
      <w:rPr>
        <w:rFonts w:ascii="Arial" w:hAnsi="Arial" w:cs="Arial"/>
        <w:b/>
        <w:bCs/>
        <w:sz w:val="20"/>
      </w:rPr>
      <w:instrText xml:space="preserve"> NUMPAGES  </w:instrText>
    </w:r>
    <w:r w:rsidRPr="009F13D0">
      <w:rPr>
        <w:rFonts w:ascii="Arial" w:hAnsi="Arial" w:cs="Arial"/>
        <w:b/>
        <w:bCs/>
        <w:sz w:val="20"/>
      </w:rPr>
      <w:fldChar w:fldCharType="separate"/>
    </w:r>
    <w:r w:rsidR="00D81EF9">
      <w:rPr>
        <w:rFonts w:ascii="Arial" w:hAnsi="Arial" w:cs="Arial"/>
        <w:b/>
        <w:bCs/>
        <w:noProof/>
        <w:sz w:val="20"/>
      </w:rPr>
      <w:t>6</w:t>
    </w:r>
    <w:r w:rsidRPr="009F13D0">
      <w:rPr>
        <w:rFonts w:ascii="Arial" w:hAnsi="Arial" w:cs="Arial"/>
        <w:b/>
        <w:bCs/>
        <w:sz w:val="20"/>
      </w:rPr>
      <w:fldChar w:fldCharType="end"/>
    </w:r>
  </w:p>
  <w:p w:rsidR="00C77FA4" w:rsidRPr="00B94A1B" w:rsidRDefault="00C77FA4">
    <w:pPr>
      <w:pStyle w:val="Footer"/>
      <w:tabs>
        <w:tab w:val="clear" w:pos="8930"/>
        <w:tab w:val="right" w:pos="8931"/>
      </w:tabs>
      <w:jc w:val="center"/>
      <w:rPr>
        <w:rFonts w:ascii="Times New Roman" w:hAnsi="Times New Roman"/>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FA4" w:rsidRDefault="00C77FA4">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F6F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C2A" w:rsidRDefault="00786C2A">
      <w:r>
        <w:separator/>
      </w:r>
    </w:p>
  </w:footnote>
  <w:footnote w:type="continuationSeparator" w:id="0">
    <w:p w:rsidR="00786C2A" w:rsidRDefault="0078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D0" w:rsidRPr="009F13D0" w:rsidRDefault="005F1064" w:rsidP="009F13D0">
    <w:pPr>
      <w:pStyle w:val="Header"/>
      <w:jc w:val="right"/>
      <w:rPr>
        <w:rFonts w:ascii="Arial" w:hAnsi="Arial" w:cs="Arial"/>
      </w:rPr>
    </w:pPr>
    <w:r>
      <w:rPr>
        <w:rFonts w:ascii="Arial" w:hAnsi="Arial" w:cs="Arial"/>
      </w:rPr>
      <w:t xml:space="preserve">Revised: </w:t>
    </w:r>
    <w:r w:rsidR="00A77D07">
      <w:rPr>
        <w:rFonts w:ascii="Arial" w:hAnsi="Arial" w:cs="Arial"/>
      </w:rPr>
      <w:t>May 2020</w:t>
    </w:r>
  </w:p>
  <w:p w:rsidR="009F13D0" w:rsidRPr="009F13D0" w:rsidRDefault="009F13D0" w:rsidP="009F13D0">
    <w:pPr>
      <w:pStyle w:val="Header"/>
      <w:jc w:val="right"/>
      <w:rPr>
        <w:rFonts w:ascii="Arial" w:hAnsi="Arial" w:cs="Arial"/>
      </w:rPr>
    </w:pPr>
    <w:r w:rsidRPr="009F13D0">
      <w:rPr>
        <w:rFonts w:ascii="Arial" w:hAnsi="Arial" w:cs="Arial"/>
      </w:rPr>
      <w:t xml:space="preserve">AN: </w:t>
    </w:r>
    <w:r w:rsidR="00A77D07">
      <w:rPr>
        <w:rFonts w:ascii="Arial" w:hAnsi="Arial" w:cs="Arial"/>
      </w:rPr>
      <w:t>02153/2019 &amp; 01505/2019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119C4AF2"/>
    <w:multiLevelType w:val="hybridMultilevel"/>
    <w:tmpl w:val="CA1E8D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D7103"/>
    <w:multiLevelType w:val="hybridMultilevel"/>
    <w:tmpl w:val="CA1E8D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4" w15:restartNumberingAfterBreak="0">
    <w:nsid w:val="3D8E2D10"/>
    <w:multiLevelType w:val="hybridMultilevel"/>
    <w:tmpl w:val="0380A9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505E62"/>
    <w:multiLevelType w:val="hybridMultilevel"/>
    <w:tmpl w:val="A93280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94777B"/>
    <w:multiLevelType w:val="hybridMultilevel"/>
    <w:tmpl w:val="09382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AB3F33"/>
    <w:multiLevelType w:val="hybridMultilevel"/>
    <w:tmpl w:val="A04872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E0B38EB"/>
    <w:multiLevelType w:val="hybridMultilevel"/>
    <w:tmpl w:val="797ACA4A"/>
    <w:lvl w:ilvl="0" w:tplc="AC608E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8"/>
  </w:num>
  <w:num w:numId="5">
    <w:abstractNumId w:val="1"/>
  </w:num>
  <w:num w:numId="6">
    <w:abstractNumId w:val="2"/>
  </w:num>
  <w:num w:numId="7">
    <w:abstractNumId w:val="7"/>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3E9"/>
    <w:rsid w:val="0000534E"/>
    <w:rsid w:val="00021B82"/>
    <w:rsid w:val="00024777"/>
    <w:rsid w:val="00024E21"/>
    <w:rsid w:val="000358F6"/>
    <w:rsid w:val="00036C50"/>
    <w:rsid w:val="0003799E"/>
    <w:rsid w:val="000474FF"/>
    <w:rsid w:val="00052D2B"/>
    <w:rsid w:val="00054F55"/>
    <w:rsid w:val="00056C80"/>
    <w:rsid w:val="000571F2"/>
    <w:rsid w:val="00062945"/>
    <w:rsid w:val="00064DC1"/>
    <w:rsid w:val="00074E31"/>
    <w:rsid w:val="00080453"/>
    <w:rsid w:val="00080FB9"/>
    <w:rsid w:val="0008169A"/>
    <w:rsid w:val="00082CB6"/>
    <w:rsid w:val="000860CE"/>
    <w:rsid w:val="00092A37"/>
    <w:rsid w:val="000938A6"/>
    <w:rsid w:val="00097C1E"/>
    <w:rsid w:val="000A1DF5"/>
    <w:rsid w:val="000A423B"/>
    <w:rsid w:val="000B1DAB"/>
    <w:rsid w:val="000B6F8F"/>
    <w:rsid w:val="000B7873"/>
    <w:rsid w:val="000C02A1"/>
    <w:rsid w:val="000C1D4F"/>
    <w:rsid w:val="000C4A41"/>
    <w:rsid w:val="000C687A"/>
    <w:rsid w:val="000D67D0"/>
    <w:rsid w:val="000E13BE"/>
    <w:rsid w:val="000E195C"/>
    <w:rsid w:val="000E3602"/>
    <w:rsid w:val="000E399A"/>
    <w:rsid w:val="000E6849"/>
    <w:rsid w:val="000F38DA"/>
    <w:rsid w:val="000F5231"/>
    <w:rsid w:val="000F5822"/>
    <w:rsid w:val="000F62F6"/>
    <w:rsid w:val="000F796B"/>
    <w:rsid w:val="0010031E"/>
    <w:rsid w:val="001008FB"/>
    <w:rsid w:val="001012EB"/>
    <w:rsid w:val="001061E7"/>
    <w:rsid w:val="0010763B"/>
    <w:rsid w:val="001078D1"/>
    <w:rsid w:val="00107F52"/>
    <w:rsid w:val="001141B1"/>
    <w:rsid w:val="00115782"/>
    <w:rsid w:val="00117EF4"/>
    <w:rsid w:val="00120DD4"/>
    <w:rsid w:val="00124F36"/>
    <w:rsid w:val="00125666"/>
    <w:rsid w:val="00125C80"/>
    <w:rsid w:val="00136453"/>
    <w:rsid w:val="0013799F"/>
    <w:rsid w:val="00140DF6"/>
    <w:rsid w:val="00145C3F"/>
    <w:rsid w:val="00145D34"/>
    <w:rsid w:val="00146284"/>
    <w:rsid w:val="0014690F"/>
    <w:rsid w:val="001469AE"/>
    <w:rsid w:val="00147BF8"/>
    <w:rsid w:val="0015098E"/>
    <w:rsid w:val="00152F67"/>
    <w:rsid w:val="00154FFD"/>
    <w:rsid w:val="00156568"/>
    <w:rsid w:val="001674D3"/>
    <w:rsid w:val="00167E75"/>
    <w:rsid w:val="00174D3A"/>
    <w:rsid w:val="00175264"/>
    <w:rsid w:val="001803D2"/>
    <w:rsid w:val="0018228B"/>
    <w:rsid w:val="00185B50"/>
    <w:rsid w:val="0018625C"/>
    <w:rsid w:val="00187DE7"/>
    <w:rsid w:val="00187E62"/>
    <w:rsid w:val="001918BB"/>
    <w:rsid w:val="00192045"/>
    <w:rsid w:val="00193B14"/>
    <w:rsid w:val="00193E72"/>
    <w:rsid w:val="00195267"/>
    <w:rsid w:val="0019600B"/>
    <w:rsid w:val="0019686E"/>
    <w:rsid w:val="00197CE5"/>
    <w:rsid w:val="001A0E2C"/>
    <w:rsid w:val="001A28C9"/>
    <w:rsid w:val="001A34BC"/>
    <w:rsid w:val="001B1C77"/>
    <w:rsid w:val="001B2791"/>
    <w:rsid w:val="001B6F4A"/>
    <w:rsid w:val="001C01C5"/>
    <w:rsid w:val="001C5288"/>
    <w:rsid w:val="001C5B03"/>
    <w:rsid w:val="001D22C7"/>
    <w:rsid w:val="001D63C8"/>
    <w:rsid w:val="001D6D96"/>
    <w:rsid w:val="001E08CA"/>
    <w:rsid w:val="001E5621"/>
    <w:rsid w:val="001F0692"/>
    <w:rsid w:val="001F14DE"/>
    <w:rsid w:val="001F3EF9"/>
    <w:rsid w:val="001F627D"/>
    <w:rsid w:val="001F6622"/>
    <w:rsid w:val="002100FC"/>
    <w:rsid w:val="00210746"/>
    <w:rsid w:val="00210F5B"/>
    <w:rsid w:val="00213890"/>
    <w:rsid w:val="00214E52"/>
    <w:rsid w:val="002207C0"/>
    <w:rsid w:val="00224B93"/>
    <w:rsid w:val="0023676E"/>
    <w:rsid w:val="002414B6"/>
    <w:rsid w:val="002422EB"/>
    <w:rsid w:val="00242397"/>
    <w:rsid w:val="00250DD1"/>
    <w:rsid w:val="00251183"/>
    <w:rsid w:val="00251689"/>
    <w:rsid w:val="0025267C"/>
    <w:rsid w:val="00253081"/>
    <w:rsid w:val="00253B6B"/>
    <w:rsid w:val="002546E4"/>
    <w:rsid w:val="00257B42"/>
    <w:rsid w:val="00265656"/>
    <w:rsid w:val="00265E77"/>
    <w:rsid w:val="00266155"/>
    <w:rsid w:val="0027270B"/>
    <w:rsid w:val="002733A9"/>
    <w:rsid w:val="002755AB"/>
    <w:rsid w:val="00280F56"/>
    <w:rsid w:val="002838C8"/>
    <w:rsid w:val="0028454C"/>
    <w:rsid w:val="00290805"/>
    <w:rsid w:val="00290C2A"/>
    <w:rsid w:val="00291ECB"/>
    <w:rsid w:val="00292DE4"/>
    <w:rsid w:val="002931DD"/>
    <w:rsid w:val="002A0E7C"/>
    <w:rsid w:val="002A21ED"/>
    <w:rsid w:val="002A38FA"/>
    <w:rsid w:val="002A3F88"/>
    <w:rsid w:val="002A5F52"/>
    <w:rsid w:val="002B0F11"/>
    <w:rsid w:val="002C2D3E"/>
    <w:rsid w:val="002C55FF"/>
    <w:rsid w:val="002C592B"/>
    <w:rsid w:val="002D58B4"/>
    <w:rsid w:val="002D611A"/>
    <w:rsid w:val="002E3A90"/>
    <w:rsid w:val="002E46CC"/>
    <w:rsid w:val="002E4F48"/>
    <w:rsid w:val="002E62CB"/>
    <w:rsid w:val="002E6DF1"/>
    <w:rsid w:val="002E6ED9"/>
    <w:rsid w:val="002F0957"/>
    <w:rsid w:val="002F3ACF"/>
    <w:rsid w:val="002F41AD"/>
    <w:rsid w:val="002F43F6"/>
    <w:rsid w:val="002F6A8F"/>
    <w:rsid w:val="002F71D5"/>
    <w:rsid w:val="003020BB"/>
    <w:rsid w:val="00304393"/>
    <w:rsid w:val="00305AB2"/>
    <w:rsid w:val="0031032B"/>
    <w:rsid w:val="00316E87"/>
    <w:rsid w:val="00322D30"/>
    <w:rsid w:val="0032453E"/>
    <w:rsid w:val="00325053"/>
    <w:rsid w:val="0032511F"/>
    <w:rsid w:val="003256AC"/>
    <w:rsid w:val="0033129D"/>
    <w:rsid w:val="003320ED"/>
    <w:rsid w:val="0033480E"/>
    <w:rsid w:val="00337123"/>
    <w:rsid w:val="00341866"/>
    <w:rsid w:val="00352379"/>
    <w:rsid w:val="003535E0"/>
    <w:rsid w:val="00353632"/>
    <w:rsid w:val="00366F56"/>
    <w:rsid w:val="003737C8"/>
    <w:rsid w:val="0037589D"/>
    <w:rsid w:val="00376BB1"/>
    <w:rsid w:val="00377E23"/>
    <w:rsid w:val="0038150B"/>
    <w:rsid w:val="0038277C"/>
    <w:rsid w:val="0038522A"/>
    <w:rsid w:val="00386FDF"/>
    <w:rsid w:val="003909E0"/>
    <w:rsid w:val="00393E09"/>
    <w:rsid w:val="00395B15"/>
    <w:rsid w:val="00396026"/>
    <w:rsid w:val="00396583"/>
    <w:rsid w:val="003A3E2F"/>
    <w:rsid w:val="003A6CCB"/>
    <w:rsid w:val="003B10C4"/>
    <w:rsid w:val="003B48EB"/>
    <w:rsid w:val="003B4E98"/>
    <w:rsid w:val="003C33FF"/>
    <w:rsid w:val="003C64A5"/>
    <w:rsid w:val="003C6F18"/>
    <w:rsid w:val="003D03CC"/>
    <w:rsid w:val="003D0689"/>
    <w:rsid w:val="003D4BB7"/>
    <w:rsid w:val="003E0116"/>
    <w:rsid w:val="003E26C3"/>
    <w:rsid w:val="003F0D6C"/>
    <w:rsid w:val="003F0F26"/>
    <w:rsid w:val="003F12D9"/>
    <w:rsid w:val="003F1B4C"/>
    <w:rsid w:val="004000FE"/>
    <w:rsid w:val="004004AE"/>
    <w:rsid w:val="004008F6"/>
    <w:rsid w:val="00404325"/>
    <w:rsid w:val="00412BBE"/>
    <w:rsid w:val="004134D8"/>
    <w:rsid w:val="004149F5"/>
    <w:rsid w:val="00414B20"/>
    <w:rsid w:val="00416614"/>
    <w:rsid w:val="00417DE3"/>
    <w:rsid w:val="00420850"/>
    <w:rsid w:val="00422A6F"/>
    <w:rsid w:val="00423968"/>
    <w:rsid w:val="00424B56"/>
    <w:rsid w:val="00427054"/>
    <w:rsid w:val="004304B1"/>
    <w:rsid w:val="0043320A"/>
    <w:rsid w:val="004332E3"/>
    <w:rsid w:val="00436AEA"/>
    <w:rsid w:val="00437AA2"/>
    <w:rsid w:val="004410DD"/>
    <w:rsid w:val="0044259A"/>
    <w:rsid w:val="004518A6"/>
    <w:rsid w:val="00453E1D"/>
    <w:rsid w:val="00454589"/>
    <w:rsid w:val="00456ED0"/>
    <w:rsid w:val="00457550"/>
    <w:rsid w:val="00462FC0"/>
    <w:rsid w:val="00474C50"/>
    <w:rsid w:val="0047506D"/>
    <w:rsid w:val="004771F9"/>
    <w:rsid w:val="00486006"/>
    <w:rsid w:val="00486BAD"/>
    <w:rsid w:val="00486BBE"/>
    <w:rsid w:val="00487123"/>
    <w:rsid w:val="004A1BD5"/>
    <w:rsid w:val="004A61E1"/>
    <w:rsid w:val="004B2344"/>
    <w:rsid w:val="004B5DDC"/>
    <w:rsid w:val="004B798E"/>
    <w:rsid w:val="004C0D08"/>
    <w:rsid w:val="004C2ABD"/>
    <w:rsid w:val="004C698B"/>
    <w:rsid w:val="004C731E"/>
    <w:rsid w:val="004D00D6"/>
    <w:rsid w:val="004D3E58"/>
    <w:rsid w:val="004D458C"/>
    <w:rsid w:val="004D5B74"/>
    <w:rsid w:val="004D6746"/>
    <w:rsid w:val="004D7248"/>
    <w:rsid w:val="004D767B"/>
    <w:rsid w:val="004E0F32"/>
    <w:rsid w:val="004E129B"/>
    <w:rsid w:val="004E23A1"/>
    <w:rsid w:val="004E7092"/>
    <w:rsid w:val="004E7ECE"/>
    <w:rsid w:val="004F0C03"/>
    <w:rsid w:val="004F3FED"/>
    <w:rsid w:val="004F46A4"/>
    <w:rsid w:val="004F5D98"/>
    <w:rsid w:val="004F6F64"/>
    <w:rsid w:val="004F7F3C"/>
    <w:rsid w:val="005004EC"/>
    <w:rsid w:val="00501EA1"/>
    <w:rsid w:val="00512C1D"/>
    <w:rsid w:val="005155A1"/>
    <w:rsid w:val="00517756"/>
    <w:rsid w:val="005177A5"/>
    <w:rsid w:val="005202C6"/>
    <w:rsid w:val="00523C53"/>
    <w:rsid w:val="00527B8F"/>
    <w:rsid w:val="00527E5E"/>
    <w:rsid w:val="00536D5A"/>
    <w:rsid w:val="00542012"/>
    <w:rsid w:val="00542A17"/>
    <w:rsid w:val="00542C43"/>
    <w:rsid w:val="00543DF5"/>
    <w:rsid w:val="0054524D"/>
    <w:rsid w:val="00545B8B"/>
    <w:rsid w:val="00546EAF"/>
    <w:rsid w:val="00550955"/>
    <w:rsid w:val="0055260D"/>
    <w:rsid w:val="00555422"/>
    <w:rsid w:val="00555810"/>
    <w:rsid w:val="00555F42"/>
    <w:rsid w:val="00555FC1"/>
    <w:rsid w:val="00562DCA"/>
    <w:rsid w:val="0056568F"/>
    <w:rsid w:val="00572B29"/>
    <w:rsid w:val="00573739"/>
    <w:rsid w:val="00582578"/>
    <w:rsid w:val="005A0DE4"/>
    <w:rsid w:val="005B04A8"/>
    <w:rsid w:val="005B28AD"/>
    <w:rsid w:val="005B328D"/>
    <w:rsid w:val="005B3503"/>
    <w:rsid w:val="005B3EE7"/>
    <w:rsid w:val="005B4DCD"/>
    <w:rsid w:val="005B4FAD"/>
    <w:rsid w:val="005C127B"/>
    <w:rsid w:val="005C19B2"/>
    <w:rsid w:val="005D0D9B"/>
    <w:rsid w:val="005D1F9A"/>
    <w:rsid w:val="005D380C"/>
    <w:rsid w:val="005D514F"/>
    <w:rsid w:val="005D6E04"/>
    <w:rsid w:val="005D7A12"/>
    <w:rsid w:val="005E53EE"/>
    <w:rsid w:val="005F0542"/>
    <w:rsid w:val="005F0F72"/>
    <w:rsid w:val="005F1064"/>
    <w:rsid w:val="005F1C1F"/>
    <w:rsid w:val="005F346D"/>
    <w:rsid w:val="005F358E"/>
    <w:rsid w:val="005F38FB"/>
    <w:rsid w:val="00602D3B"/>
    <w:rsid w:val="00606EA1"/>
    <w:rsid w:val="006128F0"/>
    <w:rsid w:val="00612F63"/>
    <w:rsid w:val="006148B4"/>
    <w:rsid w:val="00614916"/>
    <w:rsid w:val="0061726B"/>
    <w:rsid w:val="0062387A"/>
    <w:rsid w:val="00632C4A"/>
    <w:rsid w:val="0063377D"/>
    <w:rsid w:val="006344BE"/>
    <w:rsid w:val="00634A66"/>
    <w:rsid w:val="006358CC"/>
    <w:rsid w:val="00640336"/>
    <w:rsid w:val="006403EF"/>
    <w:rsid w:val="00640FC9"/>
    <w:rsid w:val="006432F2"/>
    <w:rsid w:val="0065064C"/>
    <w:rsid w:val="0065320F"/>
    <w:rsid w:val="00653D64"/>
    <w:rsid w:val="00654E13"/>
    <w:rsid w:val="00655AF6"/>
    <w:rsid w:val="00656B82"/>
    <w:rsid w:val="00667489"/>
    <w:rsid w:val="00670D44"/>
    <w:rsid w:val="00676AFC"/>
    <w:rsid w:val="006807CD"/>
    <w:rsid w:val="00680BD5"/>
    <w:rsid w:val="00682D43"/>
    <w:rsid w:val="00683F7D"/>
    <w:rsid w:val="00685BAF"/>
    <w:rsid w:val="006A0D03"/>
    <w:rsid w:val="006A1632"/>
    <w:rsid w:val="006A395A"/>
    <w:rsid w:val="006A41E9"/>
    <w:rsid w:val="006B12CB"/>
    <w:rsid w:val="006B2ECB"/>
    <w:rsid w:val="006B3F27"/>
    <w:rsid w:val="006B4AA7"/>
    <w:rsid w:val="006B5916"/>
    <w:rsid w:val="006C4775"/>
    <w:rsid w:val="006C4F4A"/>
    <w:rsid w:val="006C5E80"/>
    <w:rsid w:val="006C5FC9"/>
    <w:rsid w:val="006C73FD"/>
    <w:rsid w:val="006C7CEE"/>
    <w:rsid w:val="006D054C"/>
    <w:rsid w:val="006D075E"/>
    <w:rsid w:val="006D3E14"/>
    <w:rsid w:val="006D4703"/>
    <w:rsid w:val="006D5A1B"/>
    <w:rsid w:val="006D611F"/>
    <w:rsid w:val="006D7C6E"/>
    <w:rsid w:val="006E0F47"/>
    <w:rsid w:val="006E2F95"/>
    <w:rsid w:val="006F7583"/>
    <w:rsid w:val="0070484E"/>
    <w:rsid w:val="00705EAF"/>
    <w:rsid w:val="007101CC"/>
    <w:rsid w:val="0071054E"/>
    <w:rsid w:val="00716066"/>
    <w:rsid w:val="00722795"/>
    <w:rsid w:val="00724E3B"/>
    <w:rsid w:val="00725EEA"/>
    <w:rsid w:val="00730CE9"/>
    <w:rsid w:val="0073373D"/>
    <w:rsid w:val="007439DB"/>
    <w:rsid w:val="007523FB"/>
    <w:rsid w:val="0075546B"/>
    <w:rsid w:val="007568D8"/>
    <w:rsid w:val="00765316"/>
    <w:rsid w:val="007708C8"/>
    <w:rsid w:val="0077719D"/>
    <w:rsid w:val="00777E06"/>
    <w:rsid w:val="00780DF0"/>
    <w:rsid w:val="00782B43"/>
    <w:rsid w:val="00782F0F"/>
    <w:rsid w:val="00782FA5"/>
    <w:rsid w:val="00786C2A"/>
    <w:rsid w:val="00787482"/>
    <w:rsid w:val="00792C12"/>
    <w:rsid w:val="007A286D"/>
    <w:rsid w:val="007A38DF"/>
    <w:rsid w:val="007A7297"/>
    <w:rsid w:val="007B18B6"/>
    <w:rsid w:val="007B20CF"/>
    <w:rsid w:val="007B2222"/>
    <w:rsid w:val="007B2499"/>
    <w:rsid w:val="007B72E1"/>
    <w:rsid w:val="007B783A"/>
    <w:rsid w:val="007C1B95"/>
    <w:rsid w:val="007C1BBD"/>
    <w:rsid w:val="007C2192"/>
    <w:rsid w:val="007C248A"/>
    <w:rsid w:val="007D73FB"/>
    <w:rsid w:val="007D787A"/>
    <w:rsid w:val="007E2F2D"/>
    <w:rsid w:val="007E3B8C"/>
    <w:rsid w:val="007E67C7"/>
    <w:rsid w:val="007F1433"/>
    <w:rsid w:val="007F1491"/>
    <w:rsid w:val="007F2F03"/>
    <w:rsid w:val="00800FE0"/>
    <w:rsid w:val="00801116"/>
    <w:rsid w:val="008029AD"/>
    <w:rsid w:val="008066AD"/>
    <w:rsid w:val="00810ACE"/>
    <w:rsid w:val="00810CD2"/>
    <w:rsid w:val="00814AF1"/>
    <w:rsid w:val="0081517F"/>
    <w:rsid w:val="00815370"/>
    <w:rsid w:val="00817319"/>
    <w:rsid w:val="0082153D"/>
    <w:rsid w:val="00822150"/>
    <w:rsid w:val="008255AA"/>
    <w:rsid w:val="00827656"/>
    <w:rsid w:val="00830482"/>
    <w:rsid w:val="00830FF3"/>
    <w:rsid w:val="008334BF"/>
    <w:rsid w:val="008348DA"/>
    <w:rsid w:val="00836B8C"/>
    <w:rsid w:val="00840062"/>
    <w:rsid w:val="008410C5"/>
    <w:rsid w:val="0084278A"/>
    <w:rsid w:val="00846C08"/>
    <w:rsid w:val="008530E7"/>
    <w:rsid w:val="00855903"/>
    <w:rsid w:val="00856BDB"/>
    <w:rsid w:val="00857675"/>
    <w:rsid w:val="0086053B"/>
    <w:rsid w:val="008632A5"/>
    <w:rsid w:val="00875EC3"/>
    <w:rsid w:val="008763E7"/>
    <w:rsid w:val="008808C5"/>
    <w:rsid w:val="00881549"/>
    <w:rsid w:val="008817ED"/>
    <w:rsid w:val="00881A7C"/>
    <w:rsid w:val="00883C78"/>
    <w:rsid w:val="00885159"/>
    <w:rsid w:val="00885214"/>
    <w:rsid w:val="00886480"/>
    <w:rsid w:val="00887615"/>
    <w:rsid w:val="00890052"/>
    <w:rsid w:val="008917C7"/>
    <w:rsid w:val="00894E3A"/>
    <w:rsid w:val="00895A2F"/>
    <w:rsid w:val="00895AE2"/>
    <w:rsid w:val="00896EBD"/>
    <w:rsid w:val="008970B4"/>
    <w:rsid w:val="008A5665"/>
    <w:rsid w:val="008B1DC2"/>
    <w:rsid w:val="008B24A8"/>
    <w:rsid w:val="008B25E4"/>
    <w:rsid w:val="008B3D78"/>
    <w:rsid w:val="008B5C40"/>
    <w:rsid w:val="008C261B"/>
    <w:rsid w:val="008C2693"/>
    <w:rsid w:val="008C4FCA"/>
    <w:rsid w:val="008C7882"/>
    <w:rsid w:val="008D2261"/>
    <w:rsid w:val="008D4C28"/>
    <w:rsid w:val="008D577B"/>
    <w:rsid w:val="008D7A98"/>
    <w:rsid w:val="008E17C4"/>
    <w:rsid w:val="008E45C4"/>
    <w:rsid w:val="008E4A79"/>
    <w:rsid w:val="008E5737"/>
    <w:rsid w:val="008E61B1"/>
    <w:rsid w:val="008E64B1"/>
    <w:rsid w:val="008E64FA"/>
    <w:rsid w:val="008E74ED"/>
    <w:rsid w:val="008F29FA"/>
    <w:rsid w:val="008F3425"/>
    <w:rsid w:val="008F4DEF"/>
    <w:rsid w:val="0090341C"/>
    <w:rsid w:val="00903D0D"/>
    <w:rsid w:val="009048E1"/>
    <w:rsid w:val="0090598C"/>
    <w:rsid w:val="009071BB"/>
    <w:rsid w:val="00910F26"/>
    <w:rsid w:val="00912D03"/>
    <w:rsid w:val="00913885"/>
    <w:rsid w:val="009148A6"/>
    <w:rsid w:val="009157B7"/>
    <w:rsid w:val="0091780C"/>
    <w:rsid w:val="0092038C"/>
    <w:rsid w:val="00931D41"/>
    <w:rsid w:val="00933D18"/>
    <w:rsid w:val="00942221"/>
    <w:rsid w:val="009505E4"/>
    <w:rsid w:val="00950FBB"/>
    <w:rsid w:val="0095122F"/>
    <w:rsid w:val="00953349"/>
    <w:rsid w:val="00954E0C"/>
    <w:rsid w:val="00961156"/>
    <w:rsid w:val="00963F84"/>
    <w:rsid w:val="009641DB"/>
    <w:rsid w:val="00964F03"/>
    <w:rsid w:val="00965F99"/>
    <w:rsid w:val="00966F1F"/>
    <w:rsid w:val="00971084"/>
    <w:rsid w:val="00975676"/>
    <w:rsid w:val="00976467"/>
    <w:rsid w:val="00976D32"/>
    <w:rsid w:val="009844F7"/>
    <w:rsid w:val="009938F7"/>
    <w:rsid w:val="009A05AA"/>
    <w:rsid w:val="009A17AB"/>
    <w:rsid w:val="009A2D5A"/>
    <w:rsid w:val="009A30E8"/>
    <w:rsid w:val="009B2C7E"/>
    <w:rsid w:val="009B6DBD"/>
    <w:rsid w:val="009C108A"/>
    <w:rsid w:val="009C2E47"/>
    <w:rsid w:val="009C6BFB"/>
    <w:rsid w:val="009D0C05"/>
    <w:rsid w:val="009D79CF"/>
    <w:rsid w:val="009E268F"/>
    <w:rsid w:val="009E2C00"/>
    <w:rsid w:val="009E40FF"/>
    <w:rsid w:val="009E49AD"/>
    <w:rsid w:val="009E70F4"/>
    <w:rsid w:val="009F13D0"/>
    <w:rsid w:val="009F1AD2"/>
    <w:rsid w:val="00A01F03"/>
    <w:rsid w:val="00A0382B"/>
    <w:rsid w:val="00A0479E"/>
    <w:rsid w:val="00A053FF"/>
    <w:rsid w:val="00A07979"/>
    <w:rsid w:val="00A10984"/>
    <w:rsid w:val="00A11755"/>
    <w:rsid w:val="00A207FB"/>
    <w:rsid w:val="00A24016"/>
    <w:rsid w:val="00A265BF"/>
    <w:rsid w:val="00A26F44"/>
    <w:rsid w:val="00A318D3"/>
    <w:rsid w:val="00A34FAB"/>
    <w:rsid w:val="00A4313D"/>
    <w:rsid w:val="00A47CBF"/>
    <w:rsid w:val="00A50120"/>
    <w:rsid w:val="00A55A67"/>
    <w:rsid w:val="00A60351"/>
    <w:rsid w:val="00A61C6D"/>
    <w:rsid w:val="00A63015"/>
    <w:rsid w:val="00A66254"/>
    <w:rsid w:val="00A678B4"/>
    <w:rsid w:val="00A704A3"/>
    <w:rsid w:val="00A72E30"/>
    <w:rsid w:val="00A73CFB"/>
    <w:rsid w:val="00A75E23"/>
    <w:rsid w:val="00A77D07"/>
    <w:rsid w:val="00A82AA0"/>
    <w:rsid w:val="00A82F8A"/>
    <w:rsid w:val="00A83EAB"/>
    <w:rsid w:val="00A84BF0"/>
    <w:rsid w:val="00A85836"/>
    <w:rsid w:val="00A864A2"/>
    <w:rsid w:val="00A905A9"/>
    <w:rsid w:val="00A9226B"/>
    <w:rsid w:val="00A92C7E"/>
    <w:rsid w:val="00A9575C"/>
    <w:rsid w:val="00A95B56"/>
    <w:rsid w:val="00A969AF"/>
    <w:rsid w:val="00AA05B1"/>
    <w:rsid w:val="00AB0480"/>
    <w:rsid w:val="00AB1913"/>
    <w:rsid w:val="00AB1A2E"/>
    <w:rsid w:val="00AB328A"/>
    <w:rsid w:val="00AB4918"/>
    <w:rsid w:val="00AB4BC8"/>
    <w:rsid w:val="00AB5F23"/>
    <w:rsid w:val="00AB66CD"/>
    <w:rsid w:val="00AB6BA7"/>
    <w:rsid w:val="00AB7BE8"/>
    <w:rsid w:val="00AC22D4"/>
    <w:rsid w:val="00AC4479"/>
    <w:rsid w:val="00AD0710"/>
    <w:rsid w:val="00AD4DB9"/>
    <w:rsid w:val="00AD63C0"/>
    <w:rsid w:val="00AE35B2"/>
    <w:rsid w:val="00AE6AA0"/>
    <w:rsid w:val="00AF3500"/>
    <w:rsid w:val="00B02BCB"/>
    <w:rsid w:val="00B06AA6"/>
    <w:rsid w:val="00B119A2"/>
    <w:rsid w:val="00B15C29"/>
    <w:rsid w:val="00B177F2"/>
    <w:rsid w:val="00B201F1"/>
    <w:rsid w:val="00B22EF2"/>
    <w:rsid w:val="00B304E7"/>
    <w:rsid w:val="00B30DD5"/>
    <w:rsid w:val="00B318B6"/>
    <w:rsid w:val="00B41F47"/>
    <w:rsid w:val="00B529C8"/>
    <w:rsid w:val="00B53ECE"/>
    <w:rsid w:val="00B55EE0"/>
    <w:rsid w:val="00B567E5"/>
    <w:rsid w:val="00B60AC9"/>
    <w:rsid w:val="00B60B19"/>
    <w:rsid w:val="00B640CA"/>
    <w:rsid w:val="00B65F4F"/>
    <w:rsid w:val="00B67323"/>
    <w:rsid w:val="00B70752"/>
    <w:rsid w:val="00B715F2"/>
    <w:rsid w:val="00B71DAE"/>
    <w:rsid w:val="00B74071"/>
    <w:rsid w:val="00B7428E"/>
    <w:rsid w:val="00B74B67"/>
    <w:rsid w:val="00B75B50"/>
    <w:rsid w:val="00B779AA"/>
    <w:rsid w:val="00B81C95"/>
    <w:rsid w:val="00B82330"/>
    <w:rsid w:val="00B82ED4"/>
    <w:rsid w:val="00B8424F"/>
    <w:rsid w:val="00B85FE0"/>
    <w:rsid w:val="00B86896"/>
    <w:rsid w:val="00B875A6"/>
    <w:rsid w:val="00B93E4C"/>
    <w:rsid w:val="00B9428E"/>
    <w:rsid w:val="00B94A1B"/>
    <w:rsid w:val="00BA36A8"/>
    <w:rsid w:val="00BA5C89"/>
    <w:rsid w:val="00BA7F72"/>
    <w:rsid w:val="00BB4CE2"/>
    <w:rsid w:val="00BB5EF0"/>
    <w:rsid w:val="00BB6724"/>
    <w:rsid w:val="00BC036C"/>
    <w:rsid w:val="00BC0EFB"/>
    <w:rsid w:val="00BC2E39"/>
    <w:rsid w:val="00BD2364"/>
    <w:rsid w:val="00BD28E3"/>
    <w:rsid w:val="00BE2ACD"/>
    <w:rsid w:val="00BE3261"/>
    <w:rsid w:val="00BE5D4F"/>
    <w:rsid w:val="00BF44B2"/>
    <w:rsid w:val="00BF58FC"/>
    <w:rsid w:val="00C01222"/>
    <w:rsid w:val="00C01F77"/>
    <w:rsid w:val="00C01FFC"/>
    <w:rsid w:val="00C06AE4"/>
    <w:rsid w:val="00C114FF"/>
    <w:rsid w:val="00C171A1"/>
    <w:rsid w:val="00C171A4"/>
    <w:rsid w:val="00C17F12"/>
    <w:rsid w:val="00C21C1A"/>
    <w:rsid w:val="00C237E9"/>
    <w:rsid w:val="00C32989"/>
    <w:rsid w:val="00C32D6D"/>
    <w:rsid w:val="00C36883"/>
    <w:rsid w:val="00C40928"/>
    <w:rsid w:val="00C41B1A"/>
    <w:rsid w:val="00C42697"/>
    <w:rsid w:val="00C43F01"/>
    <w:rsid w:val="00C47552"/>
    <w:rsid w:val="00C567DD"/>
    <w:rsid w:val="00C57A81"/>
    <w:rsid w:val="00C60193"/>
    <w:rsid w:val="00C634D4"/>
    <w:rsid w:val="00C63AA5"/>
    <w:rsid w:val="00C65071"/>
    <w:rsid w:val="00C6727C"/>
    <w:rsid w:val="00C6744C"/>
    <w:rsid w:val="00C72216"/>
    <w:rsid w:val="00C73134"/>
    <w:rsid w:val="00C73DAD"/>
    <w:rsid w:val="00C73F6D"/>
    <w:rsid w:val="00C74F6E"/>
    <w:rsid w:val="00C77FA4"/>
    <w:rsid w:val="00C77FFA"/>
    <w:rsid w:val="00C80401"/>
    <w:rsid w:val="00C81C97"/>
    <w:rsid w:val="00C840C2"/>
    <w:rsid w:val="00C84101"/>
    <w:rsid w:val="00C8535F"/>
    <w:rsid w:val="00C90EDA"/>
    <w:rsid w:val="00C936F6"/>
    <w:rsid w:val="00C959E7"/>
    <w:rsid w:val="00CC1E65"/>
    <w:rsid w:val="00CC3C97"/>
    <w:rsid w:val="00CC567A"/>
    <w:rsid w:val="00CC7329"/>
    <w:rsid w:val="00CD4030"/>
    <w:rsid w:val="00CD4059"/>
    <w:rsid w:val="00CD4E5A"/>
    <w:rsid w:val="00CE03CE"/>
    <w:rsid w:val="00CF0DFF"/>
    <w:rsid w:val="00D028A9"/>
    <w:rsid w:val="00D0359D"/>
    <w:rsid w:val="00D04DED"/>
    <w:rsid w:val="00D1089A"/>
    <w:rsid w:val="00D116BD"/>
    <w:rsid w:val="00D2001A"/>
    <w:rsid w:val="00D20684"/>
    <w:rsid w:val="00D26B62"/>
    <w:rsid w:val="00D330DF"/>
    <w:rsid w:val="00D337C7"/>
    <w:rsid w:val="00D33CC8"/>
    <w:rsid w:val="00D3691A"/>
    <w:rsid w:val="00D377E2"/>
    <w:rsid w:val="00D4107B"/>
    <w:rsid w:val="00D42DCB"/>
    <w:rsid w:val="00D442D7"/>
    <w:rsid w:val="00D45482"/>
    <w:rsid w:val="00D46DF2"/>
    <w:rsid w:val="00D4724B"/>
    <w:rsid w:val="00D47674"/>
    <w:rsid w:val="00D52209"/>
    <w:rsid w:val="00D5338C"/>
    <w:rsid w:val="00D606B2"/>
    <w:rsid w:val="00D60FB9"/>
    <w:rsid w:val="00D625A7"/>
    <w:rsid w:val="00D64074"/>
    <w:rsid w:val="00D64847"/>
    <w:rsid w:val="00D65777"/>
    <w:rsid w:val="00D728A0"/>
    <w:rsid w:val="00D73866"/>
    <w:rsid w:val="00D75047"/>
    <w:rsid w:val="00D816AB"/>
    <w:rsid w:val="00D81EF9"/>
    <w:rsid w:val="00D83661"/>
    <w:rsid w:val="00D84CF8"/>
    <w:rsid w:val="00D97E7D"/>
    <w:rsid w:val="00DA2746"/>
    <w:rsid w:val="00DB3439"/>
    <w:rsid w:val="00DB3618"/>
    <w:rsid w:val="00DB370F"/>
    <w:rsid w:val="00DC2946"/>
    <w:rsid w:val="00DC308F"/>
    <w:rsid w:val="00DC550F"/>
    <w:rsid w:val="00DC64FD"/>
    <w:rsid w:val="00DC7879"/>
    <w:rsid w:val="00DD62B2"/>
    <w:rsid w:val="00DE127F"/>
    <w:rsid w:val="00DE424A"/>
    <w:rsid w:val="00DE4419"/>
    <w:rsid w:val="00DF0ACA"/>
    <w:rsid w:val="00DF14C7"/>
    <w:rsid w:val="00DF2245"/>
    <w:rsid w:val="00DF2620"/>
    <w:rsid w:val="00DF636F"/>
    <w:rsid w:val="00DF77CF"/>
    <w:rsid w:val="00E026E8"/>
    <w:rsid w:val="00E0300A"/>
    <w:rsid w:val="00E06B9A"/>
    <w:rsid w:val="00E14C47"/>
    <w:rsid w:val="00E22698"/>
    <w:rsid w:val="00E229EC"/>
    <w:rsid w:val="00E25B7C"/>
    <w:rsid w:val="00E3076B"/>
    <w:rsid w:val="00E3725B"/>
    <w:rsid w:val="00E40612"/>
    <w:rsid w:val="00E41073"/>
    <w:rsid w:val="00E42601"/>
    <w:rsid w:val="00E434D1"/>
    <w:rsid w:val="00E53065"/>
    <w:rsid w:val="00E56CBB"/>
    <w:rsid w:val="00E57B10"/>
    <w:rsid w:val="00E61492"/>
    <w:rsid w:val="00E61950"/>
    <w:rsid w:val="00E61E51"/>
    <w:rsid w:val="00E6552A"/>
    <w:rsid w:val="00E6630F"/>
    <w:rsid w:val="00E6707D"/>
    <w:rsid w:val="00E67854"/>
    <w:rsid w:val="00E70E7C"/>
    <w:rsid w:val="00E71313"/>
    <w:rsid w:val="00E72606"/>
    <w:rsid w:val="00E73C3E"/>
    <w:rsid w:val="00E76EDE"/>
    <w:rsid w:val="00E82496"/>
    <w:rsid w:val="00E834CD"/>
    <w:rsid w:val="00E84E9D"/>
    <w:rsid w:val="00E86CEE"/>
    <w:rsid w:val="00E935AF"/>
    <w:rsid w:val="00E96C53"/>
    <w:rsid w:val="00E97141"/>
    <w:rsid w:val="00EB0E20"/>
    <w:rsid w:val="00EB1A80"/>
    <w:rsid w:val="00EB457B"/>
    <w:rsid w:val="00EB6CBF"/>
    <w:rsid w:val="00EC4F3A"/>
    <w:rsid w:val="00EC5E74"/>
    <w:rsid w:val="00ED3C5E"/>
    <w:rsid w:val="00ED594D"/>
    <w:rsid w:val="00EE2F67"/>
    <w:rsid w:val="00EE36E1"/>
    <w:rsid w:val="00EE7B3F"/>
    <w:rsid w:val="00F0054D"/>
    <w:rsid w:val="00F02467"/>
    <w:rsid w:val="00F04D0E"/>
    <w:rsid w:val="00F12214"/>
    <w:rsid w:val="00F12565"/>
    <w:rsid w:val="00F14ACA"/>
    <w:rsid w:val="00F21060"/>
    <w:rsid w:val="00F23927"/>
    <w:rsid w:val="00F26A05"/>
    <w:rsid w:val="00F307CE"/>
    <w:rsid w:val="00F332F7"/>
    <w:rsid w:val="00F33F12"/>
    <w:rsid w:val="00F37108"/>
    <w:rsid w:val="00F4024E"/>
    <w:rsid w:val="00F47BAA"/>
    <w:rsid w:val="00F52EAB"/>
    <w:rsid w:val="00F61A31"/>
    <w:rsid w:val="00F61FFF"/>
    <w:rsid w:val="00F63C24"/>
    <w:rsid w:val="00F67A2D"/>
    <w:rsid w:val="00F7045C"/>
    <w:rsid w:val="00F70A1B"/>
    <w:rsid w:val="00F72FDF"/>
    <w:rsid w:val="00F74EB7"/>
    <w:rsid w:val="00F75960"/>
    <w:rsid w:val="00F77822"/>
    <w:rsid w:val="00F82526"/>
    <w:rsid w:val="00F84672"/>
    <w:rsid w:val="00F84802"/>
    <w:rsid w:val="00F84A3A"/>
    <w:rsid w:val="00F8575A"/>
    <w:rsid w:val="00F951AB"/>
    <w:rsid w:val="00F95A8C"/>
    <w:rsid w:val="00FA06FD"/>
    <w:rsid w:val="00FA515B"/>
    <w:rsid w:val="00FA6B90"/>
    <w:rsid w:val="00FA74CB"/>
    <w:rsid w:val="00FB1470"/>
    <w:rsid w:val="00FB207A"/>
    <w:rsid w:val="00FB2886"/>
    <w:rsid w:val="00FB4184"/>
    <w:rsid w:val="00FB41C8"/>
    <w:rsid w:val="00FB466E"/>
    <w:rsid w:val="00FC752C"/>
    <w:rsid w:val="00FD0434"/>
    <w:rsid w:val="00FD0492"/>
    <w:rsid w:val="00FD13EC"/>
    <w:rsid w:val="00FD4DA8"/>
    <w:rsid w:val="00FD4EEF"/>
    <w:rsid w:val="00FD5461"/>
    <w:rsid w:val="00FD6BDB"/>
    <w:rsid w:val="00FD6F00"/>
    <w:rsid w:val="00FD7B98"/>
    <w:rsid w:val="00FF0B48"/>
    <w:rsid w:val="00FF18D2"/>
    <w:rsid w:val="00FF22F5"/>
    <w:rsid w:val="00FF4664"/>
    <w:rsid w:val="00FF51C1"/>
    <w:rsid w:val="00FF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7933E82-65DC-4165-B53C-CC1074AE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D0D9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spacing w:line="240" w:lineRule="auto"/>
      <w:ind w:left="567" w:hanging="567"/>
    </w:pPr>
    <w:rPr>
      <w:b/>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semiHidden/>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semiHidden/>
    <w:rPr>
      <w:sz w:val="20"/>
    </w:rPr>
  </w:style>
  <w:style w:type="paragraph" w:styleId="BodyTextIndent3">
    <w:name w:val="Body Text Indent 3"/>
    <w:basedOn w:val="Normal"/>
    <w:pPr>
      <w:spacing w:line="240" w:lineRule="auto"/>
      <w:ind w:left="567" w:hanging="567"/>
    </w:p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2"/>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link w:val="CommentText"/>
    <w:semiHidden/>
    <w:locked/>
    <w:rsid w:val="003909E0"/>
    <w:rPr>
      <w:lang w:val="en-GB" w:eastAsia="en-US" w:bidi="ar-SA"/>
    </w:rPr>
  </w:style>
  <w:style w:type="paragraph" w:styleId="ListParagraph">
    <w:name w:val="List Paragraph"/>
    <w:basedOn w:val="Normal"/>
    <w:uiPriority w:val="1"/>
    <w:qFormat/>
    <w:rsid w:val="002A38FA"/>
    <w:pPr>
      <w:widowControl w:val="0"/>
      <w:tabs>
        <w:tab w:val="clear" w:pos="567"/>
      </w:tabs>
      <w:autoSpaceDE w:val="0"/>
      <w:autoSpaceDN w:val="0"/>
      <w:spacing w:line="240" w:lineRule="auto"/>
      <w:ind w:left="685" w:hanging="406"/>
    </w:pPr>
    <w:rPr>
      <w:szCs w:val="22"/>
      <w:lang w:val="en-US"/>
    </w:rPr>
  </w:style>
  <w:style w:type="paragraph" w:customStyle="1" w:styleId="HPRAMainBodyText">
    <w:name w:val="HPRA_MainBodyText"/>
    <w:basedOn w:val="Normal"/>
    <w:link w:val="HPRAMainBodyTextChar"/>
    <w:qFormat/>
    <w:rsid w:val="00656B82"/>
    <w:pPr>
      <w:tabs>
        <w:tab w:val="clear" w:pos="567"/>
      </w:tabs>
      <w:spacing w:line="240" w:lineRule="auto"/>
    </w:pPr>
    <w:rPr>
      <w:rFonts w:ascii="Segoe UI" w:eastAsia="Segoe UI" w:hAnsi="Segoe UI" w:cs="Segoe UI"/>
      <w:sz w:val="20"/>
      <w:lang w:val="en-IE"/>
    </w:rPr>
  </w:style>
  <w:style w:type="character" w:customStyle="1" w:styleId="HPRAMainBodyTextChar">
    <w:name w:val="HPRA_MainBodyText Char"/>
    <w:link w:val="HPRAMainBodyText"/>
    <w:rsid w:val="00656B82"/>
    <w:rPr>
      <w:rFonts w:ascii="Segoe UI" w:eastAsia="Segoe UI" w:hAnsi="Segoe UI" w:cs="Segoe UI"/>
      <w:lang w:eastAsia="en-US"/>
    </w:rPr>
  </w:style>
  <w:style w:type="character" w:customStyle="1" w:styleId="FooterChar">
    <w:name w:val="Footer Char"/>
    <w:link w:val="Footer"/>
    <w:uiPriority w:val="99"/>
    <w:rsid w:val="009F13D0"/>
    <w:rPr>
      <w:rFonts w:ascii="Helvetica" w:hAnsi="Helvetica"/>
      <w:sz w:val="16"/>
      <w:lang w:eastAsia="en-US"/>
    </w:rPr>
  </w:style>
  <w:style w:type="character" w:customStyle="1" w:styleId="BodyTextChar">
    <w:name w:val="Body Text Char"/>
    <w:link w:val="BodyText"/>
    <w:rsid w:val="005F106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31461">
      <w:bodyDiv w:val="1"/>
      <w:marLeft w:val="0"/>
      <w:marRight w:val="0"/>
      <w:marTop w:val="0"/>
      <w:marBottom w:val="0"/>
      <w:divBdr>
        <w:top w:val="none" w:sz="0" w:space="0" w:color="auto"/>
        <w:left w:val="none" w:sz="0" w:space="0" w:color="auto"/>
        <w:bottom w:val="none" w:sz="0" w:space="0" w:color="auto"/>
        <w:right w:val="none" w:sz="0" w:space="0" w:color="auto"/>
      </w:divBdr>
    </w:div>
    <w:div w:id="1228954080">
      <w:bodyDiv w:val="1"/>
      <w:marLeft w:val="0"/>
      <w:marRight w:val="0"/>
      <w:marTop w:val="0"/>
      <w:marBottom w:val="0"/>
      <w:divBdr>
        <w:top w:val="none" w:sz="0" w:space="0" w:color="auto"/>
        <w:left w:val="none" w:sz="0" w:space="0" w:color="auto"/>
        <w:bottom w:val="none" w:sz="0" w:space="0" w:color="auto"/>
        <w:right w:val="none" w:sz="0" w:space="0" w:color="auto"/>
      </w:divBdr>
    </w:div>
    <w:div w:id="14762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55F9-C608-48F7-8DC2-5F5ED4C9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1506</Words>
  <Characters>8868</Characters>
  <Application>Microsoft Office Word</Application>
  <DocSecurity>0</DocSecurity>
  <Lines>328</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EN QRD Veterinay PI template_v.8.1_clean_January 2017</vt:lpstr>
      <vt:lpstr>EN QRD Veterinay PI template_v.8.1_clean_January 2017</vt:lpstr>
    </vt:vector>
  </TitlesOfParts>
  <Manager/>
  <Company/>
  <LinksUpToDate>false</LinksUpToDate>
  <CharactersWithSpaces>10271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Elezaj</cp:lastModifiedBy>
  <cp:revision>3</cp:revision>
  <cp:lastPrinted>2008-06-03T13:50:00Z</cp:lastPrinted>
  <dcterms:created xsi:type="dcterms:W3CDTF">2020-05-22T10:19:00Z</dcterms:created>
  <dcterms:modified xsi:type="dcterms:W3CDTF">2020-05-22T10:19:00Z</dcterms:modified>
  <cp:category/>
</cp:coreProperties>
</file>