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516" w:rsidRPr="007C5516" w:rsidRDefault="007C5516" w:rsidP="007C5516">
      <w:pPr>
        <w:jc w:val="center"/>
        <w:rPr>
          <w:rFonts w:ascii="Arial" w:hAnsi="Arial" w:cs="Arial"/>
          <w:b/>
          <w:sz w:val="24"/>
          <w:szCs w:val="24"/>
          <w:u w:val="single"/>
        </w:rPr>
      </w:pPr>
      <w:bookmarkStart w:id="0" w:name="_GoBack"/>
      <w:bookmarkEnd w:id="0"/>
      <w:r w:rsidRPr="007C5516">
        <w:rPr>
          <w:rFonts w:ascii="Arial" w:hAnsi="Arial" w:cs="Arial"/>
          <w:b/>
          <w:sz w:val="24"/>
          <w:szCs w:val="24"/>
          <w:u w:val="single"/>
        </w:rPr>
        <w:t>SUMMARY OF PRODUCT CHARACTERISTICS</w:t>
      </w:r>
    </w:p>
    <w:p w:rsidR="007C5516" w:rsidRPr="007C5516" w:rsidRDefault="007C5516" w:rsidP="007C5516">
      <w:pPr>
        <w:jc w:val="center"/>
        <w:rPr>
          <w:rFonts w:ascii="Arial" w:hAnsi="Arial" w:cs="Arial"/>
          <w:b/>
          <w:sz w:val="24"/>
          <w:szCs w:val="24"/>
        </w:rPr>
      </w:pPr>
    </w:p>
    <w:p w:rsidR="007C5516" w:rsidRDefault="007C5516" w:rsidP="007C5516">
      <w:pPr>
        <w:ind w:left="567" w:hanging="567"/>
        <w:rPr>
          <w:rFonts w:ascii="Arial" w:hAnsi="Arial" w:cs="Arial"/>
          <w:b/>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1.</w:t>
      </w:r>
      <w:r w:rsidRPr="007C5516">
        <w:rPr>
          <w:rFonts w:ascii="Arial" w:hAnsi="Arial" w:cs="Arial"/>
          <w:b/>
          <w:sz w:val="24"/>
          <w:szCs w:val="24"/>
        </w:rPr>
        <w:tab/>
        <w:t>NAME OF THE VETERINARY MEDICINAL PRODUCT</w:t>
      </w:r>
    </w:p>
    <w:p w:rsidR="007C5516" w:rsidRPr="007C5516" w:rsidRDefault="007C5516" w:rsidP="007C5516">
      <w:pPr>
        <w:rPr>
          <w:rFonts w:ascii="Arial" w:hAnsi="Arial" w:cs="Arial"/>
          <w:sz w:val="24"/>
          <w:szCs w:val="24"/>
        </w:rPr>
      </w:pPr>
    </w:p>
    <w:p w:rsidR="007C5516" w:rsidRPr="007C5516" w:rsidRDefault="007C5516" w:rsidP="007C5516">
      <w:pPr>
        <w:rPr>
          <w:rFonts w:ascii="Arial" w:hAnsi="Arial" w:cs="Arial"/>
          <w:sz w:val="24"/>
          <w:szCs w:val="24"/>
        </w:rPr>
      </w:pPr>
      <w:r w:rsidRPr="007C5516">
        <w:rPr>
          <w:rFonts w:ascii="Arial" w:hAnsi="Arial" w:cs="Arial"/>
          <w:sz w:val="24"/>
          <w:szCs w:val="24"/>
        </w:rPr>
        <w:t xml:space="preserve">GastroGard 370 mg/g oral paste </w:t>
      </w:r>
    </w:p>
    <w:p w:rsidR="00447B20" w:rsidRPr="007C5516" w:rsidRDefault="00447B20" w:rsidP="007C5516">
      <w:pPr>
        <w:rPr>
          <w:rFonts w:ascii="Arial" w:hAnsi="Arial" w:cs="Arial"/>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2.</w:t>
      </w:r>
      <w:r w:rsidRPr="007C5516">
        <w:rPr>
          <w:rFonts w:ascii="Arial" w:hAnsi="Arial" w:cs="Arial"/>
          <w:b/>
          <w:sz w:val="24"/>
          <w:szCs w:val="24"/>
        </w:rPr>
        <w:tab/>
        <w:t>QUALITATIVE AND QUANTITATIVE COMPOSITION</w:t>
      </w:r>
    </w:p>
    <w:p w:rsidR="007C5516" w:rsidRPr="007C5516" w:rsidRDefault="007C5516" w:rsidP="007C5516">
      <w:pPr>
        <w:rPr>
          <w:rFonts w:ascii="Arial" w:hAnsi="Arial" w:cs="Arial"/>
          <w:sz w:val="24"/>
          <w:szCs w:val="24"/>
        </w:rPr>
      </w:pPr>
    </w:p>
    <w:p w:rsidR="007C5516" w:rsidRPr="007C5516" w:rsidRDefault="007C5516" w:rsidP="007C5516">
      <w:pPr>
        <w:rPr>
          <w:rFonts w:ascii="Arial" w:hAnsi="Arial" w:cs="Arial"/>
          <w:bCs/>
          <w:sz w:val="24"/>
          <w:szCs w:val="24"/>
        </w:rPr>
      </w:pPr>
      <w:r w:rsidRPr="007C5516">
        <w:rPr>
          <w:rFonts w:ascii="Arial" w:hAnsi="Arial" w:cs="Arial"/>
          <w:bCs/>
          <w:sz w:val="24"/>
          <w:szCs w:val="24"/>
        </w:rPr>
        <w:t>Each gram contains:</w:t>
      </w:r>
    </w:p>
    <w:p w:rsidR="007C5516" w:rsidRPr="007C5516" w:rsidRDefault="007C5516" w:rsidP="007C5516">
      <w:pPr>
        <w:rPr>
          <w:rFonts w:ascii="Arial" w:hAnsi="Arial" w:cs="Arial"/>
          <w:bCs/>
          <w:sz w:val="24"/>
          <w:szCs w:val="24"/>
        </w:rPr>
      </w:pPr>
    </w:p>
    <w:p w:rsidR="007C5516" w:rsidRPr="007C5516" w:rsidRDefault="007C5516" w:rsidP="007C5516">
      <w:pPr>
        <w:rPr>
          <w:rFonts w:ascii="Arial" w:hAnsi="Arial" w:cs="Arial"/>
          <w:bCs/>
          <w:sz w:val="24"/>
          <w:szCs w:val="24"/>
        </w:rPr>
      </w:pPr>
      <w:r w:rsidRPr="007C5516">
        <w:rPr>
          <w:rFonts w:ascii="Arial" w:hAnsi="Arial" w:cs="Arial"/>
          <w:bCs/>
          <w:sz w:val="24"/>
          <w:szCs w:val="24"/>
        </w:rPr>
        <w:t>Active substance:</w:t>
      </w:r>
    </w:p>
    <w:p w:rsidR="007C5516" w:rsidRPr="007C5516" w:rsidRDefault="007C5516" w:rsidP="007C5516">
      <w:pPr>
        <w:tabs>
          <w:tab w:val="left" w:pos="0"/>
        </w:tabs>
        <w:rPr>
          <w:rFonts w:ascii="Arial" w:hAnsi="Arial" w:cs="Arial"/>
          <w:bCs/>
          <w:sz w:val="24"/>
          <w:szCs w:val="24"/>
          <w:lang w:val="nl-NL"/>
        </w:rPr>
      </w:pPr>
      <w:r w:rsidRPr="007C5516">
        <w:rPr>
          <w:rFonts w:ascii="Arial" w:hAnsi="Arial" w:cs="Arial"/>
          <w:bCs/>
          <w:sz w:val="24"/>
          <w:szCs w:val="24"/>
          <w:lang w:val="nl-NL"/>
        </w:rPr>
        <w:t>Omeprazole:…………………………………………370 mg</w:t>
      </w:r>
    </w:p>
    <w:p w:rsidR="007C5516" w:rsidRPr="007C5516" w:rsidRDefault="007C5516" w:rsidP="007C5516">
      <w:pPr>
        <w:rPr>
          <w:rFonts w:ascii="Arial" w:hAnsi="Arial" w:cs="Arial"/>
          <w:sz w:val="24"/>
          <w:szCs w:val="24"/>
        </w:rPr>
      </w:pPr>
    </w:p>
    <w:p w:rsidR="007C5516" w:rsidRPr="007C5516" w:rsidRDefault="007C5516" w:rsidP="007C5516">
      <w:pPr>
        <w:rPr>
          <w:rFonts w:ascii="Arial" w:hAnsi="Arial" w:cs="Arial"/>
          <w:sz w:val="24"/>
          <w:szCs w:val="24"/>
        </w:rPr>
      </w:pPr>
      <w:r w:rsidRPr="007C5516">
        <w:rPr>
          <w:rFonts w:ascii="Arial" w:hAnsi="Arial" w:cs="Arial"/>
          <w:sz w:val="24"/>
          <w:szCs w:val="24"/>
        </w:rPr>
        <w:t>Excipients:</w:t>
      </w:r>
    </w:p>
    <w:p w:rsidR="007C5516" w:rsidRPr="007C5516" w:rsidRDefault="007C5516" w:rsidP="007C5516">
      <w:pPr>
        <w:tabs>
          <w:tab w:val="left" w:pos="4820"/>
          <w:tab w:val="left" w:pos="4962"/>
          <w:tab w:val="left" w:pos="5245"/>
        </w:tabs>
        <w:rPr>
          <w:rFonts w:ascii="Arial" w:hAnsi="Arial" w:cs="Arial"/>
          <w:sz w:val="24"/>
          <w:szCs w:val="24"/>
        </w:rPr>
      </w:pPr>
      <w:r w:rsidRPr="007C5516">
        <w:rPr>
          <w:rFonts w:ascii="Arial" w:hAnsi="Arial" w:cs="Arial"/>
          <w:sz w:val="24"/>
          <w:szCs w:val="24"/>
        </w:rPr>
        <w:t>Yellow Iron Oxide (E 172)…………………………….2 mg</w:t>
      </w:r>
    </w:p>
    <w:p w:rsidR="007C5516" w:rsidRPr="007C5516" w:rsidRDefault="007C5516" w:rsidP="007C5516">
      <w:pPr>
        <w:rPr>
          <w:rFonts w:ascii="Arial" w:hAnsi="Arial" w:cs="Arial"/>
          <w:sz w:val="24"/>
          <w:szCs w:val="24"/>
        </w:rPr>
      </w:pPr>
    </w:p>
    <w:p w:rsidR="007C5516" w:rsidRPr="007C5516" w:rsidRDefault="007C5516" w:rsidP="007C5516">
      <w:pPr>
        <w:rPr>
          <w:rFonts w:ascii="Arial" w:hAnsi="Arial" w:cs="Arial"/>
          <w:sz w:val="24"/>
          <w:szCs w:val="24"/>
        </w:rPr>
      </w:pPr>
      <w:r w:rsidRPr="007C5516">
        <w:rPr>
          <w:rFonts w:ascii="Arial" w:hAnsi="Arial" w:cs="Arial"/>
          <w:sz w:val="24"/>
          <w:szCs w:val="24"/>
        </w:rPr>
        <w:t>For the full list of excipients, see section 6.1.</w:t>
      </w:r>
    </w:p>
    <w:p w:rsidR="00447B20" w:rsidRPr="007C5516" w:rsidRDefault="00447B20" w:rsidP="007C5516">
      <w:pPr>
        <w:rPr>
          <w:rFonts w:ascii="Arial" w:hAnsi="Arial" w:cs="Arial"/>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3.</w:t>
      </w:r>
      <w:r w:rsidRPr="007C5516">
        <w:rPr>
          <w:rFonts w:ascii="Arial" w:hAnsi="Arial" w:cs="Arial"/>
          <w:b/>
          <w:sz w:val="24"/>
          <w:szCs w:val="24"/>
        </w:rPr>
        <w:tab/>
        <w:t>PHARMACEUTICAL FORM</w:t>
      </w:r>
    </w:p>
    <w:p w:rsidR="007C5516" w:rsidRPr="007C5516" w:rsidRDefault="007C5516" w:rsidP="007C5516">
      <w:pPr>
        <w:rPr>
          <w:rFonts w:ascii="Arial" w:hAnsi="Arial" w:cs="Arial"/>
          <w:sz w:val="24"/>
          <w:szCs w:val="24"/>
        </w:rPr>
      </w:pPr>
    </w:p>
    <w:p w:rsidR="007C5516" w:rsidRPr="007C5516" w:rsidRDefault="007C5516" w:rsidP="007C5516">
      <w:pPr>
        <w:rPr>
          <w:rFonts w:ascii="Arial" w:hAnsi="Arial" w:cs="Arial"/>
          <w:sz w:val="24"/>
          <w:szCs w:val="24"/>
        </w:rPr>
      </w:pPr>
      <w:r w:rsidRPr="007C5516">
        <w:rPr>
          <w:rFonts w:ascii="Arial" w:hAnsi="Arial" w:cs="Arial"/>
          <w:sz w:val="24"/>
          <w:szCs w:val="24"/>
        </w:rPr>
        <w:t>Oral paste.</w:t>
      </w:r>
    </w:p>
    <w:p w:rsidR="007C5516" w:rsidRPr="007C5516" w:rsidRDefault="007C5516" w:rsidP="007C5516">
      <w:pPr>
        <w:rPr>
          <w:rFonts w:ascii="Arial" w:hAnsi="Arial" w:cs="Arial"/>
          <w:sz w:val="24"/>
          <w:szCs w:val="24"/>
        </w:rPr>
      </w:pPr>
      <w:r w:rsidRPr="007C5516">
        <w:rPr>
          <w:rFonts w:ascii="Arial" w:hAnsi="Arial" w:cs="Arial"/>
          <w:sz w:val="24"/>
          <w:szCs w:val="24"/>
        </w:rPr>
        <w:t>Smooth homogeneous yellow to yellow-tan paste.</w:t>
      </w:r>
    </w:p>
    <w:p w:rsidR="00447B20" w:rsidRPr="007C5516" w:rsidRDefault="00447B20" w:rsidP="007C5516">
      <w:pPr>
        <w:rPr>
          <w:rFonts w:ascii="Arial" w:hAnsi="Arial" w:cs="Arial"/>
          <w:sz w:val="24"/>
          <w:szCs w:val="24"/>
        </w:rPr>
      </w:pPr>
    </w:p>
    <w:p w:rsidR="007C5516" w:rsidRPr="007C5516" w:rsidRDefault="007C5516" w:rsidP="007C5516">
      <w:pPr>
        <w:rPr>
          <w:rFonts w:ascii="Arial" w:hAnsi="Arial" w:cs="Arial"/>
          <w:b/>
          <w:sz w:val="24"/>
          <w:szCs w:val="24"/>
        </w:rPr>
      </w:pPr>
      <w:r w:rsidRPr="007C5516">
        <w:rPr>
          <w:rFonts w:ascii="Arial" w:hAnsi="Arial" w:cs="Arial"/>
          <w:b/>
          <w:sz w:val="24"/>
          <w:szCs w:val="24"/>
        </w:rPr>
        <w:t>4.</w:t>
      </w:r>
      <w:r w:rsidRPr="007C5516">
        <w:rPr>
          <w:rFonts w:ascii="Arial" w:hAnsi="Arial" w:cs="Arial"/>
          <w:b/>
          <w:sz w:val="24"/>
          <w:szCs w:val="24"/>
        </w:rPr>
        <w:tab/>
        <w:t>CLINICAL PARTICULARS</w:t>
      </w:r>
    </w:p>
    <w:p w:rsidR="007C5516" w:rsidRPr="007C5516" w:rsidRDefault="007C5516" w:rsidP="007C5516">
      <w:pPr>
        <w:rPr>
          <w:rFonts w:ascii="Arial" w:hAnsi="Arial" w:cs="Arial"/>
          <w:sz w:val="24"/>
          <w:szCs w:val="24"/>
        </w:rPr>
      </w:pPr>
    </w:p>
    <w:p w:rsidR="007C5516" w:rsidRPr="007C5516" w:rsidRDefault="007C5516" w:rsidP="007C5516">
      <w:pPr>
        <w:rPr>
          <w:rFonts w:ascii="Arial" w:hAnsi="Arial" w:cs="Arial"/>
          <w:b/>
          <w:sz w:val="24"/>
          <w:szCs w:val="24"/>
        </w:rPr>
      </w:pPr>
      <w:r w:rsidRPr="007C5516">
        <w:rPr>
          <w:rFonts w:ascii="Arial" w:hAnsi="Arial" w:cs="Arial"/>
          <w:b/>
          <w:sz w:val="24"/>
          <w:szCs w:val="24"/>
        </w:rPr>
        <w:t>4.1</w:t>
      </w:r>
      <w:r w:rsidRPr="007C5516">
        <w:rPr>
          <w:rFonts w:ascii="Arial" w:hAnsi="Arial" w:cs="Arial"/>
          <w:b/>
          <w:sz w:val="24"/>
          <w:szCs w:val="24"/>
        </w:rPr>
        <w:tab/>
        <w:t>Target species</w:t>
      </w:r>
    </w:p>
    <w:p w:rsidR="007C5516" w:rsidRPr="007C5516" w:rsidRDefault="007C5516" w:rsidP="007C5516">
      <w:pPr>
        <w:rPr>
          <w:rFonts w:ascii="Arial" w:hAnsi="Arial" w:cs="Arial"/>
          <w:sz w:val="24"/>
          <w:szCs w:val="24"/>
        </w:rPr>
      </w:pPr>
    </w:p>
    <w:p w:rsidR="007C5516" w:rsidRPr="007C5516" w:rsidRDefault="007C5516" w:rsidP="007C5516">
      <w:pPr>
        <w:rPr>
          <w:rFonts w:ascii="Arial" w:hAnsi="Arial" w:cs="Arial"/>
          <w:sz w:val="24"/>
          <w:szCs w:val="24"/>
        </w:rPr>
      </w:pPr>
      <w:r w:rsidRPr="007C5516">
        <w:rPr>
          <w:rFonts w:ascii="Arial" w:hAnsi="Arial" w:cs="Arial"/>
          <w:sz w:val="24"/>
          <w:szCs w:val="24"/>
        </w:rPr>
        <w:t>Horses</w:t>
      </w:r>
    </w:p>
    <w:p w:rsidR="007C5516" w:rsidRPr="007C5516" w:rsidRDefault="007C5516" w:rsidP="007C5516">
      <w:pPr>
        <w:rPr>
          <w:rFonts w:ascii="Arial" w:hAnsi="Arial" w:cs="Arial"/>
          <w:sz w:val="24"/>
          <w:szCs w:val="24"/>
        </w:rPr>
      </w:pPr>
    </w:p>
    <w:p w:rsidR="007C5516" w:rsidRPr="007C5516" w:rsidRDefault="007C5516" w:rsidP="007C5516">
      <w:pPr>
        <w:rPr>
          <w:rFonts w:ascii="Arial" w:hAnsi="Arial" w:cs="Arial"/>
          <w:sz w:val="24"/>
          <w:szCs w:val="24"/>
        </w:rPr>
      </w:pPr>
      <w:r w:rsidRPr="007C5516">
        <w:rPr>
          <w:rFonts w:ascii="Arial" w:hAnsi="Arial" w:cs="Arial"/>
          <w:b/>
          <w:sz w:val="24"/>
          <w:szCs w:val="24"/>
        </w:rPr>
        <w:t>4.2</w:t>
      </w:r>
      <w:r w:rsidRPr="007C5516">
        <w:rPr>
          <w:rFonts w:ascii="Arial" w:hAnsi="Arial" w:cs="Arial"/>
          <w:b/>
          <w:sz w:val="24"/>
          <w:szCs w:val="24"/>
        </w:rPr>
        <w:tab/>
        <w:t>Indications for use, specifying the target species</w:t>
      </w:r>
    </w:p>
    <w:p w:rsidR="007C5516" w:rsidRPr="007C5516" w:rsidRDefault="007C5516" w:rsidP="007C5516">
      <w:pPr>
        <w:rPr>
          <w:rFonts w:ascii="Arial" w:hAnsi="Arial" w:cs="Arial"/>
          <w:b/>
          <w:sz w:val="24"/>
          <w:szCs w:val="24"/>
        </w:rPr>
      </w:pPr>
    </w:p>
    <w:p w:rsidR="007C5516" w:rsidRPr="007C5516" w:rsidRDefault="007C5516" w:rsidP="007C5516">
      <w:pPr>
        <w:tabs>
          <w:tab w:val="left" w:pos="720"/>
          <w:tab w:val="left" w:pos="4932"/>
        </w:tabs>
        <w:jc w:val="both"/>
        <w:rPr>
          <w:rFonts w:ascii="Arial" w:hAnsi="Arial" w:cs="Arial"/>
          <w:sz w:val="24"/>
          <w:szCs w:val="24"/>
        </w:rPr>
      </w:pPr>
      <w:r w:rsidRPr="007C5516">
        <w:rPr>
          <w:rFonts w:ascii="Arial" w:hAnsi="Arial" w:cs="Arial"/>
          <w:sz w:val="24"/>
          <w:szCs w:val="24"/>
        </w:rPr>
        <w:t xml:space="preserve">For treatment and </w:t>
      </w:r>
      <w:r w:rsidR="00010663">
        <w:rPr>
          <w:rFonts w:ascii="Arial" w:hAnsi="Arial" w:cs="Arial"/>
          <w:sz w:val="24"/>
          <w:szCs w:val="24"/>
        </w:rPr>
        <w:t>prevention of gastric ulcers in</w:t>
      </w:r>
      <w:r w:rsidRPr="007C5516">
        <w:rPr>
          <w:rFonts w:ascii="Arial" w:hAnsi="Arial" w:cs="Arial"/>
          <w:sz w:val="24"/>
          <w:szCs w:val="24"/>
        </w:rPr>
        <w:t xml:space="preserve"> horses.</w:t>
      </w:r>
      <w:r w:rsidRPr="007C5516">
        <w:rPr>
          <w:rFonts w:ascii="Arial" w:hAnsi="Arial" w:cs="Arial"/>
          <w:sz w:val="24"/>
          <w:szCs w:val="24"/>
        </w:rPr>
        <w:tab/>
      </w:r>
    </w:p>
    <w:p w:rsidR="007C5516" w:rsidRPr="007C5516" w:rsidRDefault="007C5516" w:rsidP="007C5516">
      <w:pPr>
        <w:rPr>
          <w:rFonts w:ascii="Arial" w:hAnsi="Arial" w:cs="Arial"/>
          <w:b/>
          <w:sz w:val="24"/>
          <w:szCs w:val="24"/>
        </w:rPr>
      </w:pPr>
    </w:p>
    <w:p w:rsidR="007C5516" w:rsidRPr="007C5516" w:rsidRDefault="007C5516" w:rsidP="007C5516">
      <w:pPr>
        <w:rPr>
          <w:rFonts w:ascii="Arial" w:hAnsi="Arial" w:cs="Arial"/>
          <w:b/>
          <w:sz w:val="24"/>
          <w:szCs w:val="24"/>
        </w:rPr>
      </w:pPr>
      <w:r w:rsidRPr="007C5516">
        <w:rPr>
          <w:rFonts w:ascii="Arial" w:hAnsi="Arial" w:cs="Arial"/>
          <w:b/>
          <w:sz w:val="24"/>
          <w:szCs w:val="24"/>
        </w:rPr>
        <w:t>4.3</w:t>
      </w:r>
      <w:r w:rsidRPr="007C5516">
        <w:rPr>
          <w:rFonts w:ascii="Arial" w:hAnsi="Arial" w:cs="Arial"/>
          <w:b/>
          <w:sz w:val="24"/>
          <w:szCs w:val="24"/>
        </w:rPr>
        <w:tab/>
        <w:t>Contraindications</w:t>
      </w:r>
    </w:p>
    <w:p w:rsidR="007C5516" w:rsidRPr="007C5516" w:rsidRDefault="007C5516" w:rsidP="007C5516">
      <w:pPr>
        <w:rPr>
          <w:rFonts w:ascii="Arial" w:hAnsi="Arial" w:cs="Arial"/>
          <w:sz w:val="24"/>
          <w:szCs w:val="24"/>
        </w:rPr>
      </w:pPr>
    </w:p>
    <w:p w:rsidR="007C5516" w:rsidRPr="007C5516" w:rsidRDefault="007C5516" w:rsidP="007C5516">
      <w:pPr>
        <w:rPr>
          <w:rFonts w:ascii="Arial" w:hAnsi="Arial" w:cs="Arial"/>
          <w:sz w:val="24"/>
          <w:szCs w:val="24"/>
        </w:rPr>
      </w:pPr>
      <w:r w:rsidRPr="007C5516">
        <w:rPr>
          <w:rFonts w:ascii="Arial" w:hAnsi="Arial" w:cs="Arial"/>
          <w:sz w:val="24"/>
          <w:szCs w:val="24"/>
        </w:rPr>
        <w:t>Do not use in mares producing milk for human consumption</w:t>
      </w:r>
    </w:p>
    <w:p w:rsidR="007C5516" w:rsidRPr="007C5516" w:rsidRDefault="007C5516" w:rsidP="007C5516">
      <w:pPr>
        <w:rPr>
          <w:rFonts w:ascii="Arial" w:hAnsi="Arial" w:cs="Arial"/>
          <w:sz w:val="24"/>
          <w:szCs w:val="24"/>
        </w:rPr>
      </w:pPr>
      <w:r w:rsidRPr="007C5516">
        <w:rPr>
          <w:rFonts w:ascii="Arial" w:hAnsi="Arial" w:cs="Arial"/>
          <w:sz w:val="24"/>
          <w:szCs w:val="24"/>
        </w:rPr>
        <w:t>See section 4.5.</w:t>
      </w:r>
    </w:p>
    <w:p w:rsidR="007C5516" w:rsidRPr="007C5516" w:rsidRDefault="007C5516" w:rsidP="007C5516">
      <w:pPr>
        <w:rPr>
          <w:rFonts w:ascii="Arial" w:hAnsi="Arial" w:cs="Arial"/>
          <w:b/>
          <w:sz w:val="24"/>
          <w:szCs w:val="24"/>
        </w:rPr>
      </w:pPr>
    </w:p>
    <w:p w:rsidR="007C5516" w:rsidRPr="007C5516" w:rsidRDefault="007C5516" w:rsidP="007C5516">
      <w:pPr>
        <w:rPr>
          <w:rFonts w:ascii="Arial" w:hAnsi="Arial" w:cs="Arial"/>
          <w:b/>
          <w:sz w:val="24"/>
          <w:szCs w:val="24"/>
        </w:rPr>
      </w:pPr>
      <w:r w:rsidRPr="007C5516">
        <w:rPr>
          <w:rFonts w:ascii="Arial" w:hAnsi="Arial" w:cs="Arial"/>
          <w:b/>
          <w:sz w:val="24"/>
          <w:szCs w:val="24"/>
        </w:rPr>
        <w:t>4.4</w:t>
      </w:r>
      <w:r w:rsidRPr="007C5516">
        <w:rPr>
          <w:rFonts w:ascii="Arial" w:hAnsi="Arial" w:cs="Arial"/>
          <w:b/>
          <w:sz w:val="24"/>
          <w:szCs w:val="24"/>
        </w:rPr>
        <w:tab/>
        <w:t>Special warnings for target species</w:t>
      </w:r>
    </w:p>
    <w:p w:rsidR="007C5516" w:rsidRPr="007C5516" w:rsidRDefault="007C5516" w:rsidP="007C5516">
      <w:pPr>
        <w:rPr>
          <w:rFonts w:ascii="Arial" w:hAnsi="Arial" w:cs="Arial"/>
          <w:b/>
          <w:sz w:val="24"/>
          <w:szCs w:val="24"/>
        </w:rPr>
      </w:pPr>
    </w:p>
    <w:p w:rsidR="007C5516" w:rsidRPr="007C5516" w:rsidRDefault="007C5516" w:rsidP="007C5516">
      <w:pPr>
        <w:tabs>
          <w:tab w:val="left" w:pos="720"/>
        </w:tabs>
        <w:jc w:val="both"/>
        <w:rPr>
          <w:rFonts w:ascii="Arial" w:hAnsi="Arial" w:cs="Arial"/>
          <w:i/>
          <w:iCs/>
          <w:sz w:val="24"/>
          <w:szCs w:val="24"/>
        </w:rPr>
      </w:pPr>
      <w:r w:rsidRPr="007C5516">
        <w:rPr>
          <w:rFonts w:ascii="Arial" w:hAnsi="Arial" w:cs="Arial"/>
          <w:sz w:val="24"/>
          <w:szCs w:val="24"/>
        </w:rPr>
        <w:t>None.</w:t>
      </w:r>
    </w:p>
    <w:p w:rsidR="00671BB4" w:rsidRDefault="00671BB4" w:rsidP="007C5516">
      <w:pPr>
        <w:rPr>
          <w:rFonts w:ascii="Arial" w:hAnsi="Arial" w:cs="Arial"/>
          <w:b/>
          <w:sz w:val="24"/>
          <w:szCs w:val="24"/>
        </w:rPr>
      </w:pPr>
    </w:p>
    <w:p w:rsidR="00671BB4" w:rsidRDefault="00671BB4" w:rsidP="007C5516">
      <w:pPr>
        <w:rPr>
          <w:rFonts w:ascii="Arial" w:hAnsi="Arial" w:cs="Arial"/>
          <w:b/>
          <w:sz w:val="24"/>
          <w:szCs w:val="24"/>
        </w:rPr>
      </w:pPr>
    </w:p>
    <w:p w:rsidR="00671BB4" w:rsidRDefault="00671BB4" w:rsidP="007C5516">
      <w:pPr>
        <w:rPr>
          <w:rFonts w:ascii="Arial" w:hAnsi="Arial" w:cs="Arial"/>
          <w:b/>
          <w:sz w:val="24"/>
          <w:szCs w:val="24"/>
        </w:rPr>
      </w:pPr>
    </w:p>
    <w:p w:rsidR="00671BB4" w:rsidRDefault="00671BB4" w:rsidP="007C5516">
      <w:pPr>
        <w:rPr>
          <w:rFonts w:ascii="Arial" w:hAnsi="Arial" w:cs="Arial"/>
          <w:b/>
          <w:sz w:val="24"/>
          <w:szCs w:val="24"/>
        </w:rPr>
      </w:pPr>
    </w:p>
    <w:p w:rsidR="00671BB4" w:rsidRDefault="00671BB4" w:rsidP="007C5516">
      <w:pPr>
        <w:rPr>
          <w:rFonts w:ascii="Arial" w:hAnsi="Arial" w:cs="Arial"/>
          <w:b/>
          <w:sz w:val="24"/>
          <w:szCs w:val="24"/>
        </w:rPr>
      </w:pPr>
    </w:p>
    <w:p w:rsidR="00671BB4" w:rsidRDefault="00671BB4" w:rsidP="007C5516">
      <w:pPr>
        <w:rPr>
          <w:rFonts w:ascii="Arial" w:hAnsi="Arial" w:cs="Arial"/>
          <w:b/>
          <w:sz w:val="24"/>
          <w:szCs w:val="24"/>
        </w:rPr>
      </w:pPr>
    </w:p>
    <w:p w:rsidR="007C5516" w:rsidRPr="007C5516" w:rsidRDefault="007C5516" w:rsidP="007C5516">
      <w:pPr>
        <w:rPr>
          <w:rFonts w:ascii="Arial" w:hAnsi="Arial" w:cs="Arial"/>
          <w:sz w:val="24"/>
          <w:szCs w:val="24"/>
        </w:rPr>
      </w:pPr>
      <w:r w:rsidRPr="007C5516">
        <w:rPr>
          <w:rFonts w:ascii="Arial" w:hAnsi="Arial" w:cs="Arial"/>
          <w:b/>
          <w:sz w:val="24"/>
          <w:szCs w:val="24"/>
        </w:rPr>
        <w:lastRenderedPageBreak/>
        <w:t>4.5</w:t>
      </w:r>
      <w:r w:rsidRPr="007C5516">
        <w:rPr>
          <w:rFonts w:ascii="Arial" w:hAnsi="Arial" w:cs="Arial"/>
          <w:b/>
          <w:sz w:val="24"/>
          <w:szCs w:val="24"/>
        </w:rPr>
        <w:tab/>
        <w:t>Special precautions for use</w:t>
      </w:r>
    </w:p>
    <w:p w:rsidR="00B00A1A" w:rsidRDefault="00B00A1A" w:rsidP="00B00A1A">
      <w:pPr>
        <w:rPr>
          <w:rFonts w:ascii="Arial" w:hAnsi="Arial" w:cs="Arial"/>
          <w:sz w:val="24"/>
          <w:szCs w:val="24"/>
        </w:rPr>
      </w:pPr>
    </w:p>
    <w:p w:rsidR="007C5516" w:rsidRPr="007C5516" w:rsidRDefault="007C5516" w:rsidP="00B00A1A">
      <w:pPr>
        <w:rPr>
          <w:rFonts w:ascii="Arial" w:hAnsi="Arial" w:cs="Arial"/>
          <w:b/>
          <w:sz w:val="24"/>
          <w:szCs w:val="24"/>
        </w:rPr>
      </w:pPr>
      <w:r w:rsidRPr="007C5516">
        <w:rPr>
          <w:rFonts w:ascii="Arial" w:hAnsi="Arial" w:cs="Arial"/>
          <w:bCs/>
          <w:sz w:val="24"/>
          <w:szCs w:val="24"/>
          <w:u w:val="single"/>
        </w:rPr>
        <w:t>Special precautions for use in animals</w:t>
      </w:r>
    </w:p>
    <w:p w:rsidR="007C5516" w:rsidRPr="007C5516" w:rsidRDefault="007C5516" w:rsidP="007C5516">
      <w:pPr>
        <w:rPr>
          <w:rFonts w:ascii="Arial" w:hAnsi="Arial" w:cs="Arial"/>
          <w:b/>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Not recommended for animals under 4 weeks of age or weighing less than 70 kg bodyweight.</w:t>
      </w:r>
    </w:p>
    <w:p w:rsidR="007C5516" w:rsidRPr="007C5516" w:rsidRDefault="007C5516" w:rsidP="007C5516">
      <w:pPr>
        <w:tabs>
          <w:tab w:val="left" w:pos="720"/>
        </w:tabs>
        <w:jc w:val="both"/>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Stress (including high performance training and competition), feeding, management and husbandry practices may be associated with the development of gastric ulceration in horses.  Individuals responsible for the well-being of horses should consider reducing the ulcerogenic challenge by modifying husbandry</w:t>
      </w:r>
      <w:r w:rsidRPr="007C5516">
        <w:rPr>
          <w:rFonts w:ascii="Arial" w:hAnsi="Arial" w:cs="Arial"/>
          <w:color w:val="000000"/>
          <w:sz w:val="24"/>
          <w:szCs w:val="24"/>
        </w:rPr>
        <w:t xml:space="preserve"> practices to achieve one or more of the following: reduced stress, reduced fasting, increased </w:t>
      </w:r>
      <w:r w:rsidRPr="007C5516">
        <w:rPr>
          <w:rFonts w:ascii="Arial" w:hAnsi="Arial" w:cs="Arial"/>
          <w:sz w:val="24"/>
          <w:szCs w:val="24"/>
        </w:rPr>
        <w:t>intake of roughage and access to grazing.</w:t>
      </w:r>
    </w:p>
    <w:p w:rsidR="007C5516" w:rsidRPr="007C5516" w:rsidRDefault="007C5516" w:rsidP="007C5516">
      <w:pPr>
        <w:rPr>
          <w:rFonts w:ascii="Arial" w:hAnsi="Arial" w:cs="Arial"/>
          <w:b/>
          <w:sz w:val="24"/>
          <w:szCs w:val="24"/>
        </w:rPr>
      </w:pPr>
    </w:p>
    <w:p w:rsidR="007C5516" w:rsidRPr="007C5516" w:rsidRDefault="007C5516" w:rsidP="007C5516">
      <w:pPr>
        <w:rPr>
          <w:rFonts w:ascii="Arial" w:hAnsi="Arial" w:cs="Arial"/>
          <w:b/>
          <w:sz w:val="24"/>
          <w:szCs w:val="24"/>
        </w:rPr>
      </w:pPr>
      <w:r w:rsidRPr="007C5516">
        <w:rPr>
          <w:rFonts w:ascii="Arial" w:hAnsi="Arial" w:cs="Arial"/>
          <w:bCs/>
          <w:sz w:val="24"/>
          <w:szCs w:val="24"/>
          <w:u w:val="single"/>
        </w:rPr>
        <w:t>Special precautions to be taken by the person administering the veterinary medicinal product to animals</w:t>
      </w:r>
    </w:p>
    <w:p w:rsidR="007C5516" w:rsidRPr="007C5516" w:rsidRDefault="007C5516" w:rsidP="007C5516">
      <w:pPr>
        <w:rPr>
          <w:rFonts w:ascii="Arial" w:hAnsi="Arial" w:cs="Arial"/>
          <w:b/>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As this product may cause hypersensitivity, avoid direct contact with skin and eyes.  Use impervious gloves and do not eat or drink when handling and administering the product. Wash hands or any exposed skin after use. In case of contact with eyes, wash immediately with clean running water and seek medical advice. Persons developing a reaction after contact with the product should avoid handling the product in future.</w:t>
      </w:r>
    </w:p>
    <w:p w:rsidR="007C5516" w:rsidRPr="007C5516" w:rsidRDefault="007C5516" w:rsidP="007C5516">
      <w:pPr>
        <w:rPr>
          <w:rFonts w:ascii="Arial" w:hAnsi="Arial" w:cs="Arial"/>
          <w:b/>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4.6</w:t>
      </w:r>
      <w:r w:rsidRPr="007C5516">
        <w:rPr>
          <w:rFonts w:ascii="Arial" w:hAnsi="Arial" w:cs="Arial"/>
          <w:b/>
          <w:sz w:val="24"/>
          <w:szCs w:val="24"/>
        </w:rPr>
        <w:tab/>
        <w:t>Adverse reactions (frequency and seriousness)</w:t>
      </w:r>
    </w:p>
    <w:p w:rsidR="007C5516" w:rsidRPr="007C5516" w:rsidRDefault="007C5516" w:rsidP="007C5516">
      <w:pPr>
        <w:rPr>
          <w:rFonts w:ascii="Arial" w:hAnsi="Arial" w:cs="Arial"/>
          <w:b/>
          <w:sz w:val="24"/>
          <w:szCs w:val="24"/>
        </w:rPr>
      </w:pPr>
    </w:p>
    <w:p w:rsidR="007C5516" w:rsidRDefault="007C5516" w:rsidP="00B00A1A">
      <w:pPr>
        <w:tabs>
          <w:tab w:val="left" w:pos="720"/>
        </w:tabs>
        <w:jc w:val="both"/>
        <w:rPr>
          <w:rFonts w:ascii="Arial" w:hAnsi="Arial" w:cs="Arial"/>
          <w:sz w:val="24"/>
          <w:szCs w:val="24"/>
        </w:rPr>
      </w:pPr>
      <w:r w:rsidRPr="007C5516">
        <w:rPr>
          <w:rFonts w:ascii="Arial" w:hAnsi="Arial" w:cs="Arial"/>
          <w:sz w:val="24"/>
          <w:szCs w:val="24"/>
        </w:rPr>
        <w:t>N</w:t>
      </w:r>
      <w:r w:rsidR="00B00A1A">
        <w:rPr>
          <w:rFonts w:ascii="Arial" w:hAnsi="Arial" w:cs="Arial"/>
          <w:sz w:val="24"/>
          <w:szCs w:val="24"/>
        </w:rPr>
        <w:t>one known.</w:t>
      </w:r>
    </w:p>
    <w:p w:rsidR="00B00A1A" w:rsidRPr="00B00A1A" w:rsidRDefault="00B00A1A" w:rsidP="00B00A1A">
      <w:pPr>
        <w:tabs>
          <w:tab w:val="left" w:pos="720"/>
        </w:tabs>
        <w:jc w:val="both"/>
        <w:rPr>
          <w:rFonts w:ascii="Arial" w:hAnsi="Arial" w:cs="Arial"/>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4.7</w:t>
      </w:r>
      <w:r w:rsidRPr="007C5516">
        <w:rPr>
          <w:rFonts w:ascii="Arial" w:hAnsi="Arial" w:cs="Arial"/>
          <w:b/>
          <w:sz w:val="24"/>
          <w:szCs w:val="24"/>
        </w:rPr>
        <w:tab/>
        <w:t>Use during pregnancy, lactation or lay</w:t>
      </w:r>
    </w:p>
    <w:p w:rsidR="007C5516" w:rsidRPr="007C5516" w:rsidRDefault="007C5516" w:rsidP="007C5516">
      <w:pPr>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Laboratory studies in rats and rabbits have not produced any evidence of a teratogenic effect.</w:t>
      </w:r>
    </w:p>
    <w:p w:rsidR="007C5516" w:rsidRPr="007C5516" w:rsidRDefault="007C5516" w:rsidP="007C5516">
      <w:pPr>
        <w:tabs>
          <w:tab w:val="left" w:pos="720"/>
        </w:tabs>
        <w:jc w:val="both"/>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In the absence of data during pregnancy and lactation, the use of GastroGard in pregnant and lactating mares is not recommended.</w:t>
      </w:r>
    </w:p>
    <w:p w:rsidR="007C5516" w:rsidRPr="007C5516" w:rsidRDefault="007C5516" w:rsidP="007C5516">
      <w:pPr>
        <w:ind w:left="567" w:hanging="567"/>
        <w:rPr>
          <w:rFonts w:ascii="Arial" w:hAnsi="Arial" w:cs="Arial"/>
          <w:b/>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4.8</w:t>
      </w:r>
      <w:r w:rsidRPr="007C5516">
        <w:rPr>
          <w:rFonts w:ascii="Arial" w:hAnsi="Arial" w:cs="Arial"/>
          <w:b/>
          <w:sz w:val="24"/>
          <w:szCs w:val="24"/>
        </w:rPr>
        <w:tab/>
        <w:t>Interaction with other medicinal products and other forms of interaction</w:t>
      </w:r>
    </w:p>
    <w:p w:rsidR="007C5516" w:rsidRPr="007C5516" w:rsidRDefault="007C5516" w:rsidP="007C5516">
      <w:pPr>
        <w:rPr>
          <w:rFonts w:ascii="Arial" w:hAnsi="Arial" w:cs="Arial"/>
          <w:sz w:val="24"/>
          <w:szCs w:val="24"/>
        </w:rPr>
      </w:pPr>
    </w:p>
    <w:p w:rsidR="007C5516" w:rsidRPr="007C5516" w:rsidRDefault="007C5516" w:rsidP="007C5516">
      <w:pPr>
        <w:tabs>
          <w:tab w:val="left" w:pos="540"/>
        </w:tabs>
        <w:jc w:val="both"/>
        <w:rPr>
          <w:rFonts w:ascii="Arial" w:hAnsi="Arial" w:cs="Arial"/>
          <w:sz w:val="24"/>
          <w:szCs w:val="24"/>
        </w:rPr>
      </w:pPr>
      <w:r w:rsidRPr="007C5516">
        <w:rPr>
          <w:rFonts w:ascii="Arial" w:hAnsi="Arial" w:cs="Arial"/>
          <w:sz w:val="24"/>
          <w:szCs w:val="24"/>
        </w:rPr>
        <w:t xml:space="preserve">Omeprazole may delay the elimination of warfarin. No other interaction with medicines routinely used in the treatment of horses is expected, although interaction with drugs metabolised by liver enzymes cannot be excluded.  </w:t>
      </w:r>
    </w:p>
    <w:p w:rsidR="007C5516" w:rsidRPr="007C5516" w:rsidRDefault="007C5516" w:rsidP="007C5516">
      <w:pPr>
        <w:rPr>
          <w:rFonts w:ascii="Arial" w:hAnsi="Arial" w:cs="Arial"/>
          <w:b/>
          <w:sz w:val="24"/>
          <w:szCs w:val="24"/>
        </w:rPr>
      </w:pPr>
    </w:p>
    <w:p w:rsidR="007C5516" w:rsidRPr="007C5516" w:rsidRDefault="007C5516" w:rsidP="00CF3056">
      <w:pPr>
        <w:ind w:left="567" w:hanging="567"/>
        <w:rPr>
          <w:rFonts w:ascii="Arial" w:hAnsi="Arial" w:cs="Arial"/>
          <w:sz w:val="24"/>
          <w:szCs w:val="24"/>
        </w:rPr>
      </w:pPr>
      <w:r w:rsidRPr="007C5516">
        <w:rPr>
          <w:rFonts w:ascii="Arial" w:hAnsi="Arial" w:cs="Arial"/>
          <w:b/>
          <w:sz w:val="24"/>
          <w:szCs w:val="24"/>
        </w:rPr>
        <w:t>4.9</w:t>
      </w:r>
      <w:r w:rsidRPr="007C5516">
        <w:rPr>
          <w:rFonts w:ascii="Arial" w:hAnsi="Arial" w:cs="Arial"/>
          <w:b/>
          <w:sz w:val="24"/>
          <w:szCs w:val="24"/>
        </w:rPr>
        <w:tab/>
      </w:r>
      <w:r w:rsidRPr="007C5516">
        <w:rPr>
          <w:rFonts w:ascii="Arial" w:hAnsi="Arial" w:cs="Arial"/>
          <w:b/>
          <w:bCs/>
          <w:sz w:val="24"/>
          <w:szCs w:val="24"/>
        </w:rPr>
        <w:t>Amounts to be administered and administration route</w:t>
      </w:r>
    </w:p>
    <w:p w:rsidR="007C5516" w:rsidRPr="007C5516" w:rsidRDefault="007C5516" w:rsidP="007C5516">
      <w:pPr>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iCs/>
          <w:sz w:val="24"/>
          <w:szCs w:val="24"/>
        </w:rPr>
        <w:t>GastroGard</w:t>
      </w:r>
      <w:r w:rsidRPr="007C5516">
        <w:rPr>
          <w:rFonts w:ascii="Arial" w:hAnsi="Arial" w:cs="Arial"/>
          <w:sz w:val="24"/>
          <w:szCs w:val="24"/>
        </w:rPr>
        <w:t xml:space="preserve"> is effective in horses of various breeds and under different management conditions; foals as young as four weeks of age and weighing over 70 kg ; and breeding stallions.  </w:t>
      </w:r>
    </w:p>
    <w:p w:rsidR="007C5516" w:rsidRPr="007C5516" w:rsidRDefault="007C5516" w:rsidP="007C5516">
      <w:pPr>
        <w:tabs>
          <w:tab w:val="left" w:pos="720"/>
        </w:tabs>
        <w:jc w:val="both"/>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For oral administration.</w:t>
      </w: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u w:val="single"/>
        </w:rPr>
        <w:lastRenderedPageBreak/>
        <w:t>Treatment of gastric ulcers</w:t>
      </w:r>
      <w:r w:rsidRPr="007C5516">
        <w:rPr>
          <w:rFonts w:ascii="Arial" w:hAnsi="Arial" w:cs="Arial"/>
          <w:sz w:val="24"/>
          <w:szCs w:val="24"/>
        </w:rPr>
        <w:t xml:space="preserve">: one administration per day during 28 consecutive days at the dose rate of 4 mg omeprazole per kg body weight followed immediately by a dosage regimen of one administration per day during 28 consecutive days at the dose rate of 1 mg omeprazole per kg body weight, to reduce the recurrence of gastric ulcers during treatment.  </w:t>
      </w: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Should recurrence occur, re-treatment at a dose rate of 4 mg omeprazole per kg body weight is recommended.</w:t>
      </w:r>
    </w:p>
    <w:p w:rsidR="007C5516" w:rsidRPr="007C5516" w:rsidRDefault="007C5516" w:rsidP="007C5516">
      <w:pPr>
        <w:tabs>
          <w:tab w:val="left" w:pos="720"/>
        </w:tabs>
        <w:jc w:val="both"/>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It is recommended to associate the treatment with changes of husbandry and training practices. Please see also the text under section 4.5</w:t>
      </w:r>
    </w:p>
    <w:p w:rsidR="007C5516" w:rsidRPr="007C5516" w:rsidRDefault="007C5516" w:rsidP="007C5516">
      <w:pPr>
        <w:tabs>
          <w:tab w:val="left" w:pos="720"/>
        </w:tabs>
        <w:jc w:val="both"/>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u w:val="single"/>
        </w:rPr>
        <w:t>Prevention of gastric ulcers</w:t>
      </w:r>
      <w:r w:rsidRPr="007C5516">
        <w:rPr>
          <w:rFonts w:ascii="Arial" w:hAnsi="Arial" w:cs="Arial"/>
          <w:sz w:val="24"/>
          <w:szCs w:val="24"/>
        </w:rPr>
        <w:t>: one administration per day at the dose rate of 1 mg omeprazole per kg body weight.</w:t>
      </w:r>
    </w:p>
    <w:p w:rsidR="007C5516" w:rsidRPr="007C5516" w:rsidRDefault="007C5516" w:rsidP="007C5516">
      <w:pPr>
        <w:tabs>
          <w:tab w:val="left" w:pos="720"/>
        </w:tabs>
        <w:jc w:val="both"/>
        <w:rPr>
          <w:rFonts w:ascii="Arial" w:hAnsi="Arial" w:cs="Arial"/>
          <w:strike/>
          <w:sz w:val="24"/>
          <w:szCs w:val="24"/>
          <w:highlight w:val="yellow"/>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 xml:space="preserve">To deliver </w:t>
      </w:r>
      <w:r w:rsidRPr="007C5516">
        <w:rPr>
          <w:rFonts w:ascii="Arial" w:hAnsi="Arial" w:cs="Arial"/>
          <w:iCs/>
          <w:sz w:val="24"/>
          <w:szCs w:val="24"/>
        </w:rPr>
        <w:t>GastroGard</w:t>
      </w:r>
      <w:r w:rsidRPr="007C5516">
        <w:rPr>
          <w:rFonts w:ascii="Arial" w:hAnsi="Arial" w:cs="Arial"/>
          <w:sz w:val="24"/>
          <w:szCs w:val="24"/>
        </w:rPr>
        <w:t xml:space="preserve"> at the dose of 4 mg omeprazole/kg, set the syringe plunger to the appropriate dose division for the horse’s weight.  Each full dose division on the syringe plunger delivers sufficient omeprazole to treat 100 kg body weight. The contents of one syringe will treat a 575 kg horse at the rate of 4 mg omeprazole per kg body weight.</w:t>
      </w:r>
    </w:p>
    <w:p w:rsidR="007C5516" w:rsidRPr="007C5516" w:rsidRDefault="007C5516" w:rsidP="007C5516">
      <w:pPr>
        <w:tabs>
          <w:tab w:val="left" w:pos="720"/>
        </w:tabs>
        <w:jc w:val="both"/>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 xml:space="preserve">To deliver </w:t>
      </w:r>
      <w:r w:rsidRPr="007C5516">
        <w:rPr>
          <w:rFonts w:ascii="Arial" w:hAnsi="Arial" w:cs="Arial"/>
          <w:iCs/>
          <w:sz w:val="24"/>
          <w:szCs w:val="24"/>
        </w:rPr>
        <w:t>GastroGard</w:t>
      </w:r>
      <w:r w:rsidRPr="007C5516">
        <w:rPr>
          <w:rFonts w:ascii="Arial" w:hAnsi="Arial" w:cs="Arial"/>
          <w:sz w:val="24"/>
          <w:szCs w:val="24"/>
        </w:rPr>
        <w:t xml:space="preserve"> at the dose of 1 mg omeprazole/kg, set the syringe plunger to the dose division equivalent to one quarter of the horse’s body weight. At this dose, each full dose division on the syringe plunger will deliver sufficient omeprazole to treat 400 kg body weight. For example, to treat a horse weighing 400 kg, set the plunger to 100 kg. </w:t>
      </w:r>
    </w:p>
    <w:p w:rsidR="007C5516" w:rsidRPr="007C5516" w:rsidRDefault="007C5516" w:rsidP="007C5516">
      <w:pPr>
        <w:tabs>
          <w:tab w:val="left" w:pos="720"/>
        </w:tabs>
        <w:jc w:val="both"/>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Replace cap after use.</w:t>
      </w:r>
    </w:p>
    <w:p w:rsidR="007C5516" w:rsidRPr="007C5516" w:rsidRDefault="007C5516" w:rsidP="007C5516">
      <w:pPr>
        <w:rPr>
          <w:rFonts w:ascii="Arial" w:hAnsi="Arial" w:cs="Arial"/>
          <w:sz w:val="24"/>
          <w:szCs w:val="24"/>
        </w:rPr>
      </w:pPr>
    </w:p>
    <w:p w:rsidR="007C5516" w:rsidRPr="007C5516" w:rsidRDefault="007C5516" w:rsidP="00972064">
      <w:pPr>
        <w:pStyle w:val="BodyTextIndent"/>
        <w:ind w:left="0" w:firstLine="0"/>
        <w:rPr>
          <w:rFonts w:ascii="Arial" w:hAnsi="Arial" w:cs="Arial"/>
          <w:szCs w:val="24"/>
        </w:rPr>
      </w:pPr>
      <w:r w:rsidRPr="007C5516">
        <w:rPr>
          <w:rFonts w:ascii="Arial" w:hAnsi="Arial" w:cs="Arial"/>
          <w:szCs w:val="24"/>
        </w:rPr>
        <w:t>4.10</w:t>
      </w:r>
      <w:r w:rsidRPr="007C5516">
        <w:rPr>
          <w:rFonts w:ascii="Arial" w:hAnsi="Arial" w:cs="Arial"/>
          <w:szCs w:val="24"/>
        </w:rPr>
        <w:tab/>
        <w:t>Overdose (symptoms, emergency procedures, antidotes), if necessary</w:t>
      </w:r>
    </w:p>
    <w:p w:rsidR="007C5516" w:rsidRPr="007C5516" w:rsidRDefault="007C5516" w:rsidP="007C5516">
      <w:pPr>
        <w:ind w:left="567" w:hanging="567"/>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No undesirable effects related to treatment were observed following daily use for 91 days at omeprazole dosages up to 20 mg/kg in adult horses and in foals older than 2 months.</w:t>
      </w:r>
    </w:p>
    <w:p w:rsidR="007C5516" w:rsidRPr="007C5516" w:rsidRDefault="007C5516" w:rsidP="007C5516">
      <w:pPr>
        <w:tabs>
          <w:tab w:val="left" w:pos="720"/>
        </w:tabs>
        <w:jc w:val="both"/>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No undesirable effects related to treatment (in particular no adverse effect on the semen quality or reproductive behaviour) were observed following daily use for 71 days at an omeprazole dosage of 12 mg/kg in breeding stallions.</w:t>
      </w:r>
    </w:p>
    <w:p w:rsidR="007C5516" w:rsidRPr="007C5516" w:rsidRDefault="007C5516" w:rsidP="007C5516">
      <w:pPr>
        <w:tabs>
          <w:tab w:val="left" w:pos="720"/>
        </w:tabs>
        <w:jc w:val="both"/>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No undesirable effects related to treatment were observed following daily use for 21 days at an omeprazole dosage of 40 mg/kg in adult horses.</w:t>
      </w:r>
    </w:p>
    <w:p w:rsidR="007C5516" w:rsidRPr="007C5516" w:rsidRDefault="007C5516" w:rsidP="007C5516">
      <w:pPr>
        <w:ind w:left="567" w:hanging="567"/>
        <w:rPr>
          <w:rFonts w:ascii="Arial" w:hAnsi="Arial" w:cs="Arial"/>
          <w:b/>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4.11</w:t>
      </w:r>
      <w:r w:rsidRPr="007C5516">
        <w:rPr>
          <w:rFonts w:ascii="Arial" w:hAnsi="Arial" w:cs="Arial"/>
          <w:b/>
          <w:sz w:val="24"/>
          <w:szCs w:val="24"/>
        </w:rPr>
        <w:tab/>
        <w:t>Withdrawal period(s)</w:t>
      </w:r>
    </w:p>
    <w:p w:rsidR="007C5516" w:rsidRPr="007C5516" w:rsidRDefault="007C5516" w:rsidP="007C5516">
      <w:pPr>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 xml:space="preserve">Meat and offal: 1 day </w:t>
      </w:r>
    </w:p>
    <w:p w:rsidR="007C5516" w:rsidRPr="007C5516" w:rsidRDefault="007C5516" w:rsidP="007C5516">
      <w:pPr>
        <w:tabs>
          <w:tab w:val="left" w:pos="720"/>
        </w:tabs>
        <w:jc w:val="both"/>
        <w:rPr>
          <w:rFonts w:ascii="Arial" w:hAnsi="Arial" w:cs="Arial"/>
          <w:i/>
          <w:iCs/>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Not permitted for use in mares producing milk for human consumption.</w:t>
      </w:r>
    </w:p>
    <w:p w:rsidR="007C5516" w:rsidRPr="007C5516" w:rsidRDefault="007C5516" w:rsidP="007C5516">
      <w:pPr>
        <w:rPr>
          <w:rFonts w:ascii="Arial" w:hAnsi="Arial" w:cs="Arial"/>
          <w:b/>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5.</w:t>
      </w:r>
      <w:r w:rsidRPr="007C5516">
        <w:rPr>
          <w:rFonts w:ascii="Arial" w:hAnsi="Arial" w:cs="Arial"/>
          <w:b/>
          <w:sz w:val="24"/>
          <w:szCs w:val="24"/>
        </w:rPr>
        <w:tab/>
        <w:t>PHARMACOLOGICAL PROPERTIES</w:t>
      </w:r>
    </w:p>
    <w:p w:rsidR="007C5516" w:rsidRPr="007C5516" w:rsidRDefault="007C5516" w:rsidP="007C5516">
      <w:pPr>
        <w:rPr>
          <w:rFonts w:ascii="Arial" w:hAnsi="Arial" w:cs="Arial"/>
          <w:b/>
          <w:sz w:val="24"/>
          <w:szCs w:val="24"/>
        </w:rPr>
      </w:pPr>
    </w:p>
    <w:p w:rsidR="007C5516" w:rsidRPr="007C5516" w:rsidRDefault="007C5516" w:rsidP="007C5516">
      <w:pPr>
        <w:rPr>
          <w:rFonts w:ascii="Arial" w:hAnsi="Arial" w:cs="Arial"/>
          <w:bCs/>
          <w:sz w:val="24"/>
          <w:szCs w:val="24"/>
        </w:rPr>
      </w:pPr>
      <w:r w:rsidRPr="007C5516">
        <w:rPr>
          <w:rFonts w:ascii="Arial" w:hAnsi="Arial" w:cs="Arial"/>
          <w:bCs/>
          <w:sz w:val="24"/>
          <w:szCs w:val="24"/>
        </w:rPr>
        <w:t>Pharmacotherapeutic group: Drugs for peptic ulcer, Proton pump inhibitors</w:t>
      </w:r>
    </w:p>
    <w:p w:rsidR="007C5516" w:rsidRPr="007C5516" w:rsidRDefault="007C5516" w:rsidP="007C5516">
      <w:pPr>
        <w:rPr>
          <w:rFonts w:ascii="Arial" w:hAnsi="Arial" w:cs="Arial"/>
          <w:bCs/>
          <w:sz w:val="24"/>
          <w:szCs w:val="24"/>
        </w:rPr>
      </w:pPr>
      <w:r w:rsidRPr="007C5516">
        <w:rPr>
          <w:rFonts w:ascii="Arial" w:hAnsi="Arial" w:cs="Arial"/>
          <w:bCs/>
          <w:sz w:val="24"/>
          <w:szCs w:val="24"/>
        </w:rPr>
        <w:t xml:space="preserve">ATC vet code: QA 02 BC 01 </w:t>
      </w:r>
    </w:p>
    <w:p w:rsidR="007C5516" w:rsidRPr="007C5516" w:rsidRDefault="007C5516" w:rsidP="00CF3056">
      <w:pPr>
        <w:ind w:left="567" w:hanging="567"/>
        <w:rPr>
          <w:rFonts w:ascii="Arial" w:hAnsi="Arial" w:cs="Arial"/>
          <w:b/>
          <w:bCs/>
          <w:sz w:val="24"/>
          <w:szCs w:val="24"/>
        </w:rPr>
      </w:pPr>
      <w:r w:rsidRPr="007C5516">
        <w:rPr>
          <w:rFonts w:ascii="Arial" w:hAnsi="Arial" w:cs="Arial"/>
          <w:b/>
          <w:bCs/>
          <w:sz w:val="24"/>
          <w:szCs w:val="24"/>
        </w:rPr>
        <w:t>5.1</w:t>
      </w:r>
      <w:r w:rsidRPr="007C5516">
        <w:rPr>
          <w:rFonts w:ascii="Arial" w:hAnsi="Arial" w:cs="Arial"/>
          <w:b/>
          <w:bCs/>
          <w:sz w:val="24"/>
          <w:szCs w:val="24"/>
        </w:rPr>
        <w:tab/>
        <w:t>Pharmacodynamic properties</w:t>
      </w:r>
    </w:p>
    <w:p w:rsidR="007C5516" w:rsidRPr="007C5516" w:rsidRDefault="007C5516" w:rsidP="007C5516">
      <w:pPr>
        <w:rPr>
          <w:rFonts w:ascii="Arial" w:hAnsi="Arial" w:cs="Arial"/>
          <w:b/>
          <w:bCs/>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In studies lasting up to 28 days, treatment with GastroGard at the dose rate of 1 mg omeprazole per kg body weight per day has been shown to help prevent the occurrence of gastric ulcers in horses exposed to ulcerogenic conditions.</w:t>
      </w:r>
    </w:p>
    <w:p w:rsidR="007C5516" w:rsidRPr="007C5516" w:rsidRDefault="007C5516" w:rsidP="007C5516">
      <w:pPr>
        <w:jc w:val="both"/>
        <w:rPr>
          <w:rFonts w:ascii="Arial" w:hAnsi="Arial" w:cs="Arial"/>
          <w:bCs/>
          <w:sz w:val="24"/>
          <w:szCs w:val="24"/>
        </w:rPr>
      </w:pPr>
    </w:p>
    <w:p w:rsidR="007C5516" w:rsidRPr="007C5516" w:rsidRDefault="007C5516" w:rsidP="007C5516">
      <w:pPr>
        <w:jc w:val="both"/>
        <w:rPr>
          <w:rFonts w:ascii="Arial" w:hAnsi="Arial" w:cs="Arial"/>
          <w:sz w:val="24"/>
          <w:szCs w:val="24"/>
        </w:rPr>
      </w:pPr>
      <w:r w:rsidRPr="007C5516">
        <w:rPr>
          <w:rFonts w:ascii="Arial" w:hAnsi="Arial" w:cs="Arial"/>
          <w:sz w:val="24"/>
          <w:szCs w:val="24"/>
        </w:rPr>
        <w:t>Omeprazole is a proton pump inhibitor belonging to the substituted benzimidazole class of compounds. It is an antacid, for treatment of peptic ulcers.</w:t>
      </w:r>
    </w:p>
    <w:p w:rsidR="007C5516" w:rsidRPr="007C5516" w:rsidRDefault="007C5516" w:rsidP="007C5516">
      <w:pPr>
        <w:rPr>
          <w:rFonts w:ascii="Arial" w:hAnsi="Arial" w:cs="Arial"/>
          <w:b/>
          <w:bCs/>
          <w:sz w:val="24"/>
          <w:szCs w:val="24"/>
        </w:rPr>
      </w:pPr>
      <w:r w:rsidRPr="007C5516">
        <w:rPr>
          <w:rFonts w:ascii="Arial" w:hAnsi="Arial" w:cs="Arial"/>
          <w:b/>
          <w:bCs/>
          <w:sz w:val="24"/>
          <w:szCs w:val="24"/>
        </w:rPr>
        <w:t xml:space="preserve"> </w:t>
      </w:r>
    </w:p>
    <w:p w:rsidR="007C5516" w:rsidRPr="007C5516" w:rsidRDefault="007C5516" w:rsidP="007C5516">
      <w:pPr>
        <w:jc w:val="both"/>
        <w:rPr>
          <w:rFonts w:ascii="Arial" w:hAnsi="Arial" w:cs="Arial"/>
          <w:sz w:val="24"/>
          <w:szCs w:val="24"/>
        </w:rPr>
      </w:pPr>
      <w:r w:rsidRPr="007C5516">
        <w:rPr>
          <w:rFonts w:ascii="Arial" w:hAnsi="Arial" w:cs="Arial"/>
          <w:sz w:val="24"/>
          <w:szCs w:val="24"/>
        </w:rPr>
        <w:t>Omeprazole suppresses gastric acid secretion by specific inhibition of the H</w:t>
      </w:r>
      <w:r w:rsidRPr="007C5516">
        <w:rPr>
          <w:rFonts w:ascii="Arial" w:hAnsi="Arial" w:cs="Arial"/>
          <w:sz w:val="24"/>
          <w:szCs w:val="24"/>
          <w:vertAlign w:val="superscript"/>
        </w:rPr>
        <w:t>+</w:t>
      </w:r>
      <w:r w:rsidRPr="007C5516">
        <w:rPr>
          <w:rFonts w:ascii="Arial" w:hAnsi="Arial" w:cs="Arial"/>
          <w:sz w:val="24"/>
          <w:szCs w:val="24"/>
        </w:rPr>
        <w:t>/K</w:t>
      </w:r>
      <w:r w:rsidRPr="007C5516">
        <w:rPr>
          <w:rFonts w:ascii="Arial" w:hAnsi="Arial" w:cs="Arial"/>
          <w:sz w:val="24"/>
          <w:szCs w:val="24"/>
          <w:vertAlign w:val="superscript"/>
        </w:rPr>
        <w:t>+</w:t>
      </w:r>
      <w:r w:rsidRPr="007C5516">
        <w:rPr>
          <w:rFonts w:ascii="Arial" w:hAnsi="Arial" w:cs="Arial"/>
          <w:sz w:val="24"/>
          <w:szCs w:val="24"/>
        </w:rPr>
        <w:t>-ATPase enzyme system at the secretory surface of the parietal cell.  The H</w:t>
      </w:r>
      <w:r w:rsidRPr="007C5516">
        <w:rPr>
          <w:rFonts w:ascii="Arial" w:hAnsi="Arial" w:cs="Arial"/>
          <w:sz w:val="24"/>
          <w:szCs w:val="24"/>
          <w:vertAlign w:val="superscript"/>
        </w:rPr>
        <w:t>+</w:t>
      </w:r>
      <w:r w:rsidRPr="007C5516">
        <w:rPr>
          <w:rFonts w:ascii="Arial" w:hAnsi="Arial" w:cs="Arial"/>
          <w:sz w:val="24"/>
          <w:szCs w:val="24"/>
        </w:rPr>
        <w:t>/K</w:t>
      </w:r>
      <w:r w:rsidRPr="007C5516">
        <w:rPr>
          <w:rFonts w:ascii="Arial" w:hAnsi="Arial" w:cs="Arial"/>
          <w:sz w:val="24"/>
          <w:szCs w:val="24"/>
          <w:vertAlign w:val="superscript"/>
        </w:rPr>
        <w:t>+</w:t>
      </w:r>
      <w:r w:rsidRPr="007C5516">
        <w:rPr>
          <w:rFonts w:ascii="Arial" w:hAnsi="Arial" w:cs="Arial"/>
          <w:sz w:val="24"/>
          <w:szCs w:val="24"/>
        </w:rPr>
        <w:t>- ATPase enzyme system is the acid (proton) pump within the gastric mucosa. Because H</w:t>
      </w:r>
      <w:r w:rsidRPr="007C5516">
        <w:rPr>
          <w:rFonts w:ascii="Arial" w:hAnsi="Arial" w:cs="Arial"/>
          <w:sz w:val="24"/>
          <w:szCs w:val="24"/>
          <w:vertAlign w:val="superscript"/>
        </w:rPr>
        <w:t>+</w:t>
      </w:r>
      <w:r w:rsidRPr="007C5516">
        <w:rPr>
          <w:rFonts w:ascii="Arial" w:hAnsi="Arial" w:cs="Arial"/>
          <w:sz w:val="24"/>
          <w:szCs w:val="24"/>
        </w:rPr>
        <w:t>/K</w:t>
      </w:r>
      <w:r w:rsidRPr="007C5516">
        <w:rPr>
          <w:rFonts w:ascii="Arial" w:hAnsi="Arial" w:cs="Arial"/>
          <w:sz w:val="24"/>
          <w:szCs w:val="24"/>
          <w:vertAlign w:val="superscript"/>
        </w:rPr>
        <w:t>+</w:t>
      </w:r>
      <w:r w:rsidRPr="007C5516">
        <w:rPr>
          <w:rFonts w:ascii="Arial" w:hAnsi="Arial" w:cs="Arial"/>
          <w:sz w:val="24"/>
          <w:szCs w:val="24"/>
        </w:rPr>
        <w:t xml:space="preserve">- ATPase is the </w:t>
      </w:r>
      <w:smartTag w:uri="urn:schemas-microsoft-com:office:smarttags" w:element="country-region">
        <w:r w:rsidRPr="007C5516">
          <w:rPr>
            <w:rFonts w:ascii="Arial" w:hAnsi="Arial" w:cs="Arial"/>
            <w:sz w:val="24"/>
            <w:szCs w:val="24"/>
          </w:rPr>
          <w:t>fina</w:t>
        </w:r>
      </w:smartTag>
      <w:r w:rsidRPr="007C5516">
        <w:rPr>
          <w:rFonts w:ascii="Arial" w:hAnsi="Arial" w:cs="Arial"/>
          <w:sz w:val="24"/>
          <w:szCs w:val="24"/>
        </w:rPr>
        <w:t>l step involved in control of acid secretion, omeprazole blocks secretion irrespective of the stimulus. Omeprazole irreversibly binds to the gastric parietal cell H</w:t>
      </w:r>
      <w:r w:rsidRPr="007C5516">
        <w:rPr>
          <w:rFonts w:ascii="Arial" w:hAnsi="Arial" w:cs="Arial"/>
          <w:sz w:val="24"/>
          <w:szCs w:val="24"/>
          <w:vertAlign w:val="superscript"/>
        </w:rPr>
        <w:t>+</w:t>
      </w:r>
      <w:r w:rsidRPr="007C5516">
        <w:rPr>
          <w:rFonts w:ascii="Arial" w:hAnsi="Arial" w:cs="Arial"/>
          <w:sz w:val="24"/>
          <w:szCs w:val="24"/>
        </w:rPr>
        <w:t>/K</w:t>
      </w:r>
      <w:r w:rsidRPr="007C5516">
        <w:rPr>
          <w:rFonts w:ascii="Arial" w:hAnsi="Arial" w:cs="Arial"/>
          <w:sz w:val="24"/>
          <w:szCs w:val="24"/>
          <w:vertAlign w:val="superscript"/>
        </w:rPr>
        <w:t>+</w:t>
      </w:r>
      <w:r w:rsidRPr="007C5516">
        <w:rPr>
          <w:rFonts w:ascii="Arial" w:hAnsi="Arial" w:cs="Arial"/>
          <w:sz w:val="24"/>
          <w:szCs w:val="24"/>
        </w:rPr>
        <w:t xml:space="preserve">-ATPase enzyme that pumps hydrogen ions into the lumen of the stomach in exchange for potassium ions. </w:t>
      </w:r>
    </w:p>
    <w:p w:rsidR="007C5516" w:rsidRPr="007C5516" w:rsidRDefault="007C5516" w:rsidP="007C5516">
      <w:pPr>
        <w:jc w:val="both"/>
        <w:rPr>
          <w:rFonts w:ascii="Arial" w:hAnsi="Arial" w:cs="Arial"/>
          <w:sz w:val="24"/>
          <w:szCs w:val="24"/>
        </w:rPr>
      </w:pPr>
      <w:r w:rsidRPr="007C5516">
        <w:rPr>
          <w:rFonts w:ascii="Arial" w:hAnsi="Arial" w:cs="Arial"/>
          <w:sz w:val="24"/>
          <w:szCs w:val="24"/>
        </w:rPr>
        <w:t>At 8, 16 and 24 hours after dosing horses with omeprazole at 4 mg/kg/day orally, pentagastrin-stimulated gastric acid secretion was inhibited by 99%, 95% and 90% and basal secretion was inhibited by 99%, 90% and 83%.</w:t>
      </w:r>
    </w:p>
    <w:p w:rsidR="007C5516" w:rsidRPr="007C5516" w:rsidRDefault="007C5516" w:rsidP="007C5516">
      <w:pPr>
        <w:jc w:val="both"/>
        <w:rPr>
          <w:rFonts w:ascii="Arial" w:hAnsi="Arial" w:cs="Arial"/>
          <w:bCs/>
          <w:sz w:val="24"/>
          <w:szCs w:val="24"/>
        </w:rPr>
      </w:pPr>
      <w:r w:rsidRPr="007C5516">
        <w:rPr>
          <w:rFonts w:ascii="Arial" w:hAnsi="Arial" w:cs="Arial"/>
          <w:sz w:val="24"/>
          <w:szCs w:val="24"/>
        </w:rPr>
        <w:t>The full effect on the inhibition of acid secretion is reached by five days after the first administration.</w:t>
      </w:r>
    </w:p>
    <w:p w:rsidR="007C5516" w:rsidRPr="007C5516" w:rsidRDefault="007C5516" w:rsidP="007C5516">
      <w:pPr>
        <w:rPr>
          <w:rFonts w:ascii="Arial" w:hAnsi="Arial" w:cs="Arial"/>
          <w:b/>
          <w:bCs/>
          <w:sz w:val="24"/>
          <w:szCs w:val="24"/>
        </w:rPr>
      </w:pPr>
    </w:p>
    <w:p w:rsidR="007C5516" w:rsidRPr="007C5516" w:rsidRDefault="007C5516" w:rsidP="00CF3056">
      <w:pPr>
        <w:ind w:left="567" w:hanging="567"/>
        <w:rPr>
          <w:rFonts w:ascii="Arial" w:hAnsi="Arial" w:cs="Arial"/>
          <w:sz w:val="24"/>
          <w:szCs w:val="24"/>
        </w:rPr>
      </w:pPr>
      <w:r w:rsidRPr="007C5516">
        <w:rPr>
          <w:rFonts w:ascii="Arial" w:hAnsi="Arial" w:cs="Arial"/>
          <w:b/>
          <w:bCs/>
          <w:sz w:val="24"/>
          <w:szCs w:val="24"/>
        </w:rPr>
        <w:t>5.2</w:t>
      </w:r>
      <w:r w:rsidRPr="007C5516">
        <w:rPr>
          <w:rFonts w:ascii="Arial" w:hAnsi="Arial" w:cs="Arial"/>
          <w:b/>
          <w:bCs/>
          <w:sz w:val="24"/>
          <w:szCs w:val="24"/>
        </w:rPr>
        <w:tab/>
        <w:t xml:space="preserve">Pharmacokinetic particulars </w:t>
      </w:r>
    </w:p>
    <w:p w:rsidR="007C5516" w:rsidRPr="007C5516" w:rsidRDefault="007C5516" w:rsidP="007C5516">
      <w:pPr>
        <w:rPr>
          <w:rFonts w:ascii="Arial" w:hAnsi="Arial" w:cs="Arial"/>
          <w:sz w:val="24"/>
          <w:szCs w:val="24"/>
        </w:rPr>
      </w:pPr>
    </w:p>
    <w:p w:rsidR="007C5516" w:rsidRPr="007C5516" w:rsidRDefault="007C5516" w:rsidP="007C5516">
      <w:pPr>
        <w:jc w:val="both"/>
        <w:rPr>
          <w:rFonts w:ascii="Arial" w:hAnsi="Arial" w:cs="Arial"/>
          <w:bCs/>
          <w:sz w:val="24"/>
          <w:szCs w:val="24"/>
        </w:rPr>
      </w:pPr>
      <w:r w:rsidRPr="007C5516">
        <w:rPr>
          <w:rFonts w:ascii="Arial" w:hAnsi="Arial" w:cs="Arial"/>
          <w:bCs/>
          <w:sz w:val="24"/>
          <w:szCs w:val="24"/>
        </w:rPr>
        <w:t>The median bioavailability of omeprazole after oral administration as a paste is 10.5% (range 4.1 to 12.7%).  The absorption is rapid with time to maximum plasma concentrations (Tmax) of approximately one hour after dosing. Mean peak concentration (Cmax) ranges from 385 ng/ml to 693 ng/ml after dosing with 4 mg/kg. There is a significant first-pass effect following oral administration.  Omeprazole is rapidly metabolised principally into glucuronides of demethylated and hydroxylated omeprazole sulphide (urinary metabolites) and methyl sulphide omeprazole (biliary metabolite) as well as into reduced omeprazole (both). After oral administration at 4 mg/kg, omeprazole is detectable in plasma for 9 hours after treatment, and in urine as hydroxyomeprazole and O-desmethylomeprazole at 24 hours but not at 48 hours. Omeprazole is eliminated quickly, mainly by urinary route (43 to 61% of the dose), and to a smaller extent by faecal route, with a terminal half-life ranging from approximately 0.5 to 8 hours.</w:t>
      </w:r>
    </w:p>
    <w:p w:rsidR="007C5516" w:rsidRPr="007C5516" w:rsidRDefault="007C5516" w:rsidP="007C5516">
      <w:pPr>
        <w:jc w:val="both"/>
        <w:rPr>
          <w:rFonts w:ascii="Arial" w:hAnsi="Arial" w:cs="Arial"/>
          <w:b/>
          <w:sz w:val="24"/>
          <w:szCs w:val="24"/>
        </w:rPr>
      </w:pPr>
      <w:r w:rsidRPr="007C5516">
        <w:rPr>
          <w:rFonts w:ascii="Arial" w:hAnsi="Arial" w:cs="Arial"/>
          <w:bCs/>
          <w:sz w:val="24"/>
          <w:szCs w:val="24"/>
        </w:rPr>
        <w:t xml:space="preserve">After repeated oral administration, there is no evidence of accumulation. </w:t>
      </w:r>
    </w:p>
    <w:p w:rsidR="007C5516" w:rsidRPr="007C5516" w:rsidRDefault="007C5516" w:rsidP="007C5516">
      <w:pPr>
        <w:rPr>
          <w:rFonts w:ascii="Arial" w:hAnsi="Arial" w:cs="Arial"/>
          <w:b/>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6.</w:t>
      </w:r>
      <w:r w:rsidRPr="007C5516">
        <w:rPr>
          <w:rFonts w:ascii="Arial" w:hAnsi="Arial" w:cs="Arial"/>
          <w:b/>
          <w:sz w:val="24"/>
          <w:szCs w:val="24"/>
        </w:rPr>
        <w:tab/>
        <w:t>PHARMACEUTICAL PARTICULARS</w:t>
      </w:r>
    </w:p>
    <w:p w:rsidR="007C5516" w:rsidRPr="007C5516" w:rsidRDefault="007C5516" w:rsidP="007C5516">
      <w:pPr>
        <w:ind w:left="567" w:hanging="567"/>
        <w:rPr>
          <w:rFonts w:ascii="Arial" w:hAnsi="Arial" w:cs="Arial"/>
          <w:sz w:val="24"/>
          <w:szCs w:val="24"/>
        </w:rPr>
      </w:pPr>
    </w:p>
    <w:p w:rsidR="007C5516" w:rsidRPr="007C5516" w:rsidRDefault="007C5516" w:rsidP="007C5516">
      <w:pPr>
        <w:ind w:left="567" w:hanging="567"/>
        <w:rPr>
          <w:rFonts w:ascii="Arial" w:hAnsi="Arial" w:cs="Arial"/>
          <w:b/>
          <w:sz w:val="24"/>
          <w:szCs w:val="24"/>
        </w:rPr>
      </w:pPr>
      <w:r w:rsidRPr="007C5516">
        <w:rPr>
          <w:rFonts w:ascii="Arial" w:hAnsi="Arial" w:cs="Arial"/>
          <w:b/>
          <w:sz w:val="24"/>
          <w:szCs w:val="24"/>
        </w:rPr>
        <w:t>6.1</w:t>
      </w:r>
      <w:r w:rsidRPr="007C5516">
        <w:rPr>
          <w:rFonts w:ascii="Arial" w:hAnsi="Arial" w:cs="Arial"/>
          <w:b/>
          <w:sz w:val="24"/>
          <w:szCs w:val="24"/>
        </w:rPr>
        <w:tab/>
        <w:t>List of excipients</w:t>
      </w:r>
    </w:p>
    <w:p w:rsidR="007C5516" w:rsidRPr="007C5516" w:rsidRDefault="007C5516" w:rsidP="007C5516">
      <w:pPr>
        <w:ind w:left="567" w:hanging="567"/>
        <w:rPr>
          <w:rFonts w:ascii="Arial" w:hAnsi="Arial" w:cs="Arial"/>
          <w:b/>
          <w:sz w:val="24"/>
          <w:szCs w:val="24"/>
        </w:rPr>
      </w:pPr>
    </w:p>
    <w:p w:rsidR="007C5516" w:rsidRPr="007C5516" w:rsidRDefault="007C5516" w:rsidP="007C5516">
      <w:pPr>
        <w:ind w:left="567" w:hanging="567"/>
        <w:rPr>
          <w:rFonts w:ascii="Arial" w:hAnsi="Arial" w:cs="Arial"/>
          <w:bCs/>
          <w:sz w:val="24"/>
          <w:szCs w:val="24"/>
        </w:rPr>
      </w:pPr>
      <w:r w:rsidRPr="007C5516">
        <w:rPr>
          <w:rFonts w:ascii="Arial" w:hAnsi="Arial" w:cs="Arial"/>
          <w:bCs/>
          <w:sz w:val="24"/>
          <w:szCs w:val="24"/>
        </w:rPr>
        <w:t>Yellow Iron Oxide (E 172)</w:t>
      </w:r>
    </w:p>
    <w:p w:rsidR="007C5516" w:rsidRPr="007C5516" w:rsidRDefault="007C5516" w:rsidP="007C5516">
      <w:pPr>
        <w:ind w:left="567" w:hanging="567"/>
        <w:rPr>
          <w:rFonts w:ascii="Arial" w:hAnsi="Arial" w:cs="Arial"/>
          <w:bCs/>
          <w:sz w:val="24"/>
          <w:szCs w:val="24"/>
        </w:rPr>
      </w:pPr>
      <w:r w:rsidRPr="007C5516">
        <w:rPr>
          <w:rFonts w:ascii="Arial" w:hAnsi="Arial" w:cs="Arial"/>
          <w:bCs/>
          <w:sz w:val="24"/>
          <w:szCs w:val="24"/>
        </w:rPr>
        <w:t>Monoethanolamine</w:t>
      </w:r>
    </w:p>
    <w:p w:rsidR="007C5516" w:rsidRPr="007C5516" w:rsidRDefault="007C5516" w:rsidP="007C5516">
      <w:pPr>
        <w:ind w:left="567" w:hanging="567"/>
        <w:rPr>
          <w:rFonts w:ascii="Arial" w:hAnsi="Arial" w:cs="Arial"/>
          <w:bCs/>
          <w:sz w:val="24"/>
          <w:szCs w:val="24"/>
        </w:rPr>
      </w:pPr>
      <w:r w:rsidRPr="007C5516">
        <w:rPr>
          <w:rFonts w:ascii="Arial" w:hAnsi="Arial" w:cs="Arial"/>
          <w:bCs/>
          <w:sz w:val="24"/>
          <w:szCs w:val="24"/>
        </w:rPr>
        <w:t xml:space="preserve">Potassium sorbate </w:t>
      </w:r>
    </w:p>
    <w:p w:rsidR="007C5516" w:rsidRPr="007C5516" w:rsidRDefault="007C5516" w:rsidP="007C5516">
      <w:pPr>
        <w:ind w:left="567" w:hanging="567"/>
        <w:rPr>
          <w:rFonts w:ascii="Arial" w:hAnsi="Arial" w:cs="Arial"/>
          <w:bCs/>
          <w:sz w:val="24"/>
          <w:szCs w:val="24"/>
        </w:rPr>
      </w:pPr>
      <w:r w:rsidRPr="007C5516">
        <w:rPr>
          <w:rFonts w:ascii="Arial" w:hAnsi="Arial" w:cs="Arial"/>
          <w:bCs/>
          <w:sz w:val="24"/>
          <w:szCs w:val="24"/>
        </w:rPr>
        <w:t>Cassia Oil</w:t>
      </w:r>
    </w:p>
    <w:p w:rsidR="007C5516" w:rsidRPr="007C5516" w:rsidRDefault="007C5516" w:rsidP="007C5516">
      <w:pPr>
        <w:ind w:left="567" w:hanging="567"/>
        <w:rPr>
          <w:rFonts w:ascii="Arial" w:hAnsi="Arial" w:cs="Arial"/>
          <w:bCs/>
          <w:sz w:val="24"/>
          <w:szCs w:val="24"/>
        </w:rPr>
      </w:pPr>
      <w:r w:rsidRPr="007C5516">
        <w:rPr>
          <w:rFonts w:ascii="Arial" w:hAnsi="Arial" w:cs="Arial"/>
          <w:bCs/>
          <w:sz w:val="24"/>
          <w:szCs w:val="24"/>
        </w:rPr>
        <w:t>Sodium Stearate</w:t>
      </w:r>
    </w:p>
    <w:p w:rsidR="007C5516" w:rsidRPr="007C5516" w:rsidRDefault="007C5516" w:rsidP="007C5516">
      <w:pPr>
        <w:ind w:left="567" w:hanging="567"/>
        <w:rPr>
          <w:rFonts w:ascii="Arial" w:hAnsi="Arial" w:cs="Arial"/>
          <w:bCs/>
          <w:sz w:val="24"/>
          <w:szCs w:val="24"/>
        </w:rPr>
      </w:pPr>
      <w:r w:rsidRPr="007C5516">
        <w:rPr>
          <w:rFonts w:ascii="Arial" w:hAnsi="Arial" w:cs="Arial"/>
          <w:bCs/>
          <w:sz w:val="24"/>
          <w:szCs w:val="24"/>
        </w:rPr>
        <w:t>Calcium Stearate</w:t>
      </w:r>
    </w:p>
    <w:p w:rsidR="007C5516" w:rsidRPr="007C5516" w:rsidRDefault="007C5516" w:rsidP="007C5516">
      <w:pPr>
        <w:ind w:left="567" w:hanging="567"/>
        <w:rPr>
          <w:rFonts w:ascii="Arial" w:hAnsi="Arial" w:cs="Arial"/>
          <w:bCs/>
          <w:sz w:val="24"/>
          <w:szCs w:val="24"/>
        </w:rPr>
      </w:pPr>
      <w:r w:rsidRPr="007C5516">
        <w:rPr>
          <w:rFonts w:ascii="Arial" w:hAnsi="Arial" w:cs="Arial"/>
          <w:bCs/>
          <w:sz w:val="24"/>
          <w:szCs w:val="24"/>
        </w:rPr>
        <w:t>Hydrogenated Castor Oil</w:t>
      </w:r>
    </w:p>
    <w:p w:rsidR="007C5516" w:rsidRPr="007C5516" w:rsidRDefault="007C5516" w:rsidP="007C5516">
      <w:pPr>
        <w:ind w:left="567" w:hanging="567"/>
        <w:rPr>
          <w:rFonts w:ascii="Arial" w:hAnsi="Arial" w:cs="Arial"/>
          <w:bCs/>
          <w:sz w:val="24"/>
          <w:szCs w:val="24"/>
        </w:rPr>
      </w:pPr>
      <w:r w:rsidRPr="007C5516">
        <w:rPr>
          <w:rFonts w:ascii="Arial" w:hAnsi="Arial" w:cs="Arial"/>
          <w:bCs/>
          <w:sz w:val="24"/>
          <w:szCs w:val="24"/>
        </w:rPr>
        <w:t>Propylene Glycol Octanoate Decanoate</w:t>
      </w:r>
    </w:p>
    <w:p w:rsidR="007C5516" w:rsidRPr="007C5516" w:rsidRDefault="007C5516" w:rsidP="007C5516">
      <w:pPr>
        <w:ind w:left="567" w:hanging="567"/>
        <w:rPr>
          <w:rFonts w:ascii="Arial" w:hAnsi="Arial" w:cs="Arial"/>
          <w:bCs/>
          <w:sz w:val="24"/>
          <w:szCs w:val="24"/>
        </w:rPr>
      </w:pPr>
      <w:r w:rsidRPr="007C5516">
        <w:rPr>
          <w:rFonts w:ascii="Arial" w:hAnsi="Arial" w:cs="Arial"/>
          <w:bCs/>
          <w:sz w:val="24"/>
          <w:szCs w:val="24"/>
        </w:rPr>
        <w:t>Sesame Oil</w:t>
      </w:r>
    </w:p>
    <w:p w:rsidR="007C5516" w:rsidRPr="007C5516" w:rsidRDefault="007C5516" w:rsidP="007C5516">
      <w:pPr>
        <w:ind w:left="567" w:hanging="567"/>
        <w:rPr>
          <w:rFonts w:ascii="Arial" w:hAnsi="Arial" w:cs="Arial"/>
          <w:b/>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6.2</w:t>
      </w:r>
      <w:r w:rsidRPr="007C5516">
        <w:rPr>
          <w:rFonts w:ascii="Arial" w:hAnsi="Arial" w:cs="Arial"/>
          <w:b/>
          <w:sz w:val="24"/>
          <w:szCs w:val="24"/>
        </w:rPr>
        <w:tab/>
        <w:t>Major incompatibilities</w:t>
      </w:r>
    </w:p>
    <w:p w:rsidR="007C5516" w:rsidRPr="007C5516" w:rsidRDefault="007C5516" w:rsidP="007C5516">
      <w:pPr>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Not app</w:t>
      </w:r>
      <w:smartTag w:uri="urn:schemas-microsoft-com:office:smarttags" w:element="country-region">
        <w:r w:rsidRPr="007C5516">
          <w:rPr>
            <w:rFonts w:ascii="Arial" w:hAnsi="Arial" w:cs="Arial"/>
            <w:sz w:val="24"/>
            <w:szCs w:val="24"/>
          </w:rPr>
          <w:t>lica</w:t>
        </w:r>
      </w:smartTag>
      <w:r w:rsidRPr="007C5516">
        <w:rPr>
          <w:rFonts w:ascii="Arial" w:hAnsi="Arial" w:cs="Arial"/>
          <w:sz w:val="24"/>
          <w:szCs w:val="24"/>
        </w:rPr>
        <w:t>ble.</w:t>
      </w:r>
    </w:p>
    <w:p w:rsidR="007C5516" w:rsidRPr="007C5516" w:rsidRDefault="007C5516" w:rsidP="007C5516">
      <w:pPr>
        <w:rPr>
          <w:rFonts w:ascii="Arial" w:hAnsi="Arial" w:cs="Arial"/>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6.3</w:t>
      </w:r>
      <w:r w:rsidRPr="007C5516">
        <w:rPr>
          <w:rFonts w:ascii="Arial" w:hAnsi="Arial" w:cs="Arial"/>
          <w:b/>
          <w:sz w:val="24"/>
          <w:szCs w:val="24"/>
        </w:rPr>
        <w:tab/>
        <w:t>Shelf life</w:t>
      </w:r>
    </w:p>
    <w:p w:rsidR="007C5516" w:rsidRPr="007C5516" w:rsidRDefault="007C5516" w:rsidP="007C5516">
      <w:pPr>
        <w:ind w:right="-318"/>
        <w:rPr>
          <w:rFonts w:ascii="Arial" w:hAnsi="Arial" w:cs="Arial"/>
          <w:sz w:val="24"/>
          <w:szCs w:val="24"/>
        </w:rPr>
      </w:pP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Shelf life of the veterinary medicinal product as packaged for sale: 18 months.</w:t>
      </w:r>
    </w:p>
    <w:p w:rsidR="007C5516" w:rsidRPr="007C5516" w:rsidRDefault="007C5516" w:rsidP="007C5516">
      <w:pPr>
        <w:tabs>
          <w:tab w:val="left" w:pos="720"/>
        </w:tabs>
        <w:jc w:val="both"/>
        <w:rPr>
          <w:rFonts w:ascii="Arial" w:hAnsi="Arial" w:cs="Arial"/>
          <w:sz w:val="24"/>
          <w:szCs w:val="24"/>
        </w:rPr>
      </w:pPr>
      <w:r w:rsidRPr="007C5516">
        <w:rPr>
          <w:rFonts w:ascii="Arial" w:hAnsi="Arial" w:cs="Arial"/>
          <w:sz w:val="24"/>
          <w:szCs w:val="24"/>
        </w:rPr>
        <w:t>Shelf life after first opening the immediate packaging: 28 days</w:t>
      </w:r>
    </w:p>
    <w:p w:rsidR="007C5516" w:rsidRPr="007C5516" w:rsidRDefault="007C5516" w:rsidP="007C5516">
      <w:pPr>
        <w:ind w:right="-318"/>
        <w:rPr>
          <w:rFonts w:ascii="Arial" w:hAnsi="Arial" w:cs="Arial"/>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6.4</w:t>
      </w:r>
      <w:r w:rsidRPr="007C5516">
        <w:rPr>
          <w:rFonts w:ascii="Arial" w:hAnsi="Arial" w:cs="Arial"/>
          <w:b/>
          <w:sz w:val="24"/>
          <w:szCs w:val="24"/>
        </w:rPr>
        <w:tab/>
        <w:t>Special precautions for storage</w:t>
      </w:r>
    </w:p>
    <w:p w:rsidR="007C5516" w:rsidRPr="007C5516" w:rsidRDefault="007C5516" w:rsidP="007C5516">
      <w:pPr>
        <w:ind w:right="-318"/>
        <w:rPr>
          <w:rFonts w:ascii="Arial" w:hAnsi="Arial" w:cs="Arial"/>
          <w:sz w:val="24"/>
          <w:szCs w:val="24"/>
        </w:rPr>
      </w:pPr>
    </w:p>
    <w:p w:rsidR="007C5516" w:rsidRPr="007C5516" w:rsidRDefault="007C5516" w:rsidP="007C5516">
      <w:pPr>
        <w:rPr>
          <w:rFonts w:ascii="Arial" w:hAnsi="Arial" w:cs="Arial"/>
          <w:sz w:val="24"/>
          <w:szCs w:val="24"/>
        </w:rPr>
      </w:pPr>
      <w:r w:rsidRPr="007C5516">
        <w:rPr>
          <w:rFonts w:ascii="Arial" w:hAnsi="Arial" w:cs="Arial"/>
          <w:sz w:val="24"/>
          <w:szCs w:val="24"/>
        </w:rPr>
        <w:t>Do not store above 30°C. Replace cap after use.</w:t>
      </w:r>
    </w:p>
    <w:p w:rsidR="007C5516" w:rsidRPr="007C5516" w:rsidRDefault="007C5516" w:rsidP="007C5516">
      <w:pPr>
        <w:rPr>
          <w:rFonts w:ascii="Arial" w:hAnsi="Arial" w:cs="Arial"/>
          <w:noProof/>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6.5</w:t>
      </w:r>
      <w:r w:rsidRPr="007C5516">
        <w:rPr>
          <w:rFonts w:ascii="Arial" w:hAnsi="Arial" w:cs="Arial"/>
          <w:b/>
          <w:sz w:val="24"/>
          <w:szCs w:val="24"/>
        </w:rPr>
        <w:tab/>
        <w:t xml:space="preserve">Nature and </w:t>
      </w:r>
      <w:r w:rsidRPr="007C5516">
        <w:rPr>
          <w:rFonts w:ascii="Arial" w:hAnsi="Arial" w:cs="Arial"/>
          <w:b/>
          <w:bCs/>
          <w:sz w:val="24"/>
          <w:szCs w:val="24"/>
        </w:rPr>
        <w:t>composition of immediate packaging</w:t>
      </w:r>
    </w:p>
    <w:p w:rsidR="007C5516" w:rsidRPr="007C5516" w:rsidRDefault="007C5516" w:rsidP="007C5516">
      <w:pPr>
        <w:rPr>
          <w:rFonts w:ascii="Arial" w:hAnsi="Arial" w:cs="Arial"/>
          <w:sz w:val="24"/>
          <w:szCs w:val="24"/>
        </w:rPr>
      </w:pPr>
    </w:p>
    <w:p w:rsidR="007C5516" w:rsidRPr="007C5516" w:rsidRDefault="007C5516" w:rsidP="007C5516">
      <w:pPr>
        <w:rPr>
          <w:rFonts w:ascii="Arial" w:hAnsi="Arial" w:cs="Arial"/>
          <w:sz w:val="24"/>
          <w:szCs w:val="24"/>
        </w:rPr>
      </w:pPr>
      <w:r w:rsidRPr="007C5516">
        <w:rPr>
          <w:rFonts w:ascii="Arial" w:hAnsi="Arial" w:cs="Arial"/>
          <w:sz w:val="24"/>
          <w:szCs w:val="24"/>
          <w:u w:val="single"/>
        </w:rPr>
        <w:t>Immediate packaging</w:t>
      </w:r>
      <w:r w:rsidRPr="007C5516">
        <w:rPr>
          <w:rFonts w:ascii="Arial" w:hAnsi="Arial" w:cs="Arial"/>
          <w:sz w:val="24"/>
          <w:szCs w:val="24"/>
        </w:rPr>
        <w:t>: 10 ml syringe containing 6.16 g of paste composed of white polypropylene syringes barrel with a white LDPE cap, a rubber rod tip and a polypropylene plunger rod, with dose divisions calibrated by body weight.</w:t>
      </w:r>
    </w:p>
    <w:p w:rsidR="007C5516" w:rsidRPr="007C5516" w:rsidRDefault="007C5516" w:rsidP="007C5516">
      <w:pPr>
        <w:rPr>
          <w:rFonts w:ascii="Arial" w:hAnsi="Arial" w:cs="Arial"/>
          <w:bCs/>
          <w:sz w:val="24"/>
          <w:szCs w:val="24"/>
        </w:rPr>
      </w:pPr>
    </w:p>
    <w:p w:rsidR="007C5516" w:rsidRPr="007C5516" w:rsidRDefault="007C5516" w:rsidP="007C5516">
      <w:pPr>
        <w:pStyle w:val="Heading5"/>
        <w:jc w:val="left"/>
        <w:rPr>
          <w:rFonts w:ascii="Arial" w:hAnsi="Arial" w:cs="Arial"/>
          <w:b/>
          <w:szCs w:val="24"/>
        </w:rPr>
      </w:pPr>
      <w:r w:rsidRPr="007C5516">
        <w:rPr>
          <w:rFonts w:ascii="Arial" w:hAnsi="Arial" w:cs="Arial"/>
          <w:b/>
          <w:szCs w:val="24"/>
        </w:rPr>
        <w:t>Outer packaging and sales presentations</w:t>
      </w:r>
    </w:p>
    <w:p w:rsidR="007C5516" w:rsidRPr="007C5516" w:rsidRDefault="007C5516" w:rsidP="007C5516">
      <w:pPr>
        <w:numPr>
          <w:ilvl w:val="0"/>
          <w:numId w:val="9"/>
        </w:numPr>
        <w:rPr>
          <w:rFonts w:ascii="Arial" w:hAnsi="Arial" w:cs="Arial"/>
          <w:sz w:val="24"/>
          <w:szCs w:val="24"/>
        </w:rPr>
      </w:pPr>
      <w:r w:rsidRPr="007C5516">
        <w:rPr>
          <w:rFonts w:ascii="Arial" w:hAnsi="Arial" w:cs="Arial"/>
          <w:sz w:val="24"/>
          <w:szCs w:val="24"/>
        </w:rPr>
        <w:t>Carton box of 1, 7 or 14 syringes</w:t>
      </w:r>
    </w:p>
    <w:p w:rsidR="007C5516" w:rsidRPr="007C5516" w:rsidRDefault="007C5516" w:rsidP="007C5516">
      <w:pPr>
        <w:numPr>
          <w:ilvl w:val="0"/>
          <w:numId w:val="9"/>
        </w:numPr>
        <w:rPr>
          <w:rFonts w:ascii="Arial" w:hAnsi="Arial" w:cs="Arial"/>
          <w:sz w:val="24"/>
          <w:szCs w:val="24"/>
        </w:rPr>
      </w:pPr>
      <w:r w:rsidRPr="007C5516">
        <w:rPr>
          <w:rFonts w:ascii="Arial" w:hAnsi="Arial" w:cs="Arial"/>
          <w:sz w:val="24"/>
          <w:szCs w:val="24"/>
        </w:rPr>
        <w:t>Bulk pack of 72 syringes.</w:t>
      </w:r>
    </w:p>
    <w:p w:rsidR="007C5516" w:rsidRPr="007C5516" w:rsidRDefault="007C5516" w:rsidP="007C5516">
      <w:pPr>
        <w:ind w:right="-318"/>
        <w:rPr>
          <w:rFonts w:ascii="Arial" w:hAnsi="Arial" w:cs="Arial"/>
          <w:sz w:val="24"/>
          <w:szCs w:val="24"/>
        </w:rPr>
      </w:pPr>
    </w:p>
    <w:p w:rsidR="007C5516" w:rsidRPr="007C5516" w:rsidRDefault="007C5516" w:rsidP="007C5516">
      <w:pPr>
        <w:ind w:right="-318"/>
        <w:rPr>
          <w:rFonts w:ascii="Arial" w:hAnsi="Arial" w:cs="Arial"/>
          <w:sz w:val="24"/>
          <w:szCs w:val="24"/>
        </w:rPr>
      </w:pPr>
      <w:r w:rsidRPr="007C5516">
        <w:rPr>
          <w:rFonts w:ascii="Arial" w:hAnsi="Arial" w:cs="Arial"/>
          <w:sz w:val="24"/>
          <w:szCs w:val="24"/>
        </w:rPr>
        <w:t>Not all pack sizes may be marketed.</w:t>
      </w:r>
    </w:p>
    <w:p w:rsidR="007C5516" w:rsidRPr="007C5516" w:rsidRDefault="007C5516" w:rsidP="007C5516">
      <w:pPr>
        <w:ind w:right="-318"/>
        <w:rPr>
          <w:rFonts w:ascii="Arial" w:hAnsi="Arial" w:cs="Arial"/>
          <w:sz w:val="24"/>
          <w:szCs w:val="24"/>
        </w:rPr>
      </w:pPr>
    </w:p>
    <w:p w:rsidR="007C5516" w:rsidRPr="007C5516" w:rsidRDefault="007C5516" w:rsidP="007C5516">
      <w:pPr>
        <w:ind w:left="567" w:hanging="567"/>
        <w:rPr>
          <w:rFonts w:ascii="Arial" w:hAnsi="Arial" w:cs="Arial"/>
          <w:sz w:val="24"/>
          <w:szCs w:val="24"/>
        </w:rPr>
      </w:pPr>
      <w:r w:rsidRPr="007C5516">
        <w:rPr>
          <w:rFonts w:ascii="Arial" w:hAnsi="Arial" w:cs="Arial"/>
          <w:b/>
          <w:sz w:val="24"/>
          <w:szCs w:val="24"/>
        </w:rPr>
        <w:t>6.6</w:t>
      </w:r>
      <w:r w:rsidRPr="007C5516">
        <w:rPr>
          <w:rFonts w:ascii="Arial" w:hAnsi="Arial" w:cs="Arial"/>
          <w:sz w:val="24"/>
          <w:szCs w:val="24"/>
        </w:rPr>
        <w:tab/>
      </w:r>
      <w:r w:rsidRPr="007C5516">
        <w:rPr>
          <w:rFonts w:ascii="Arial" w:hAnsi="Arial" w:cs="Arial"/>
          <w:b/>
          <w:sz w:val="24"/>
          <w:szCs w:val="24"/>
        </w:rPr>
        <w:t>Special precautions for the disposal of unused veterinary medicinal product or waste materials derived from the use of such products</w:t>
      </w:r>
    </w:p>
    <w:p w:rsidR="007C5516" w:rsidRPr="007C5516" w:rsidRDefault="007C5516" w:rsidP="007C5516">
      <w:pPr>
        <w:ind w:right="-318"/>
        <w:rPr>
          <w:rFonts w:ascii="Arial" w:hAnsi="Arial" w:cs="Arial"/>
          <w:sz w:val="24"/>
          <w:szCs w:val="24"/>
        </w:rPr>
      </w:pPr>
    </w:p>
    <w:p w:rsidR="007C5516" w:rsidRPr="007C5516" w:rsidRDefault="007C5516" w:rsidP="007C5516">
      <w:pPr>
        <w:rPr>
          <w:rFonts w:ascii="Arial" w:hAnsi="Arial" w:cs="Arial"/>
          <w:sz w:val="24"/>
          <w:szCs w:val="24"/>
        </w:rPr>
      </w:pPr>
      <w:r w:rsidRPr="007C5516">
        <w:rPr>
          <w:rFonts w:ascii="Arial" w:hAnsi="Arial" w:cs="Arial"/>
          <w:sz w:val="24"/>
          <w:szCs w:val="24"/>
        </w:rPr>
        <w:t>Any unused veterinary medicinal product or waste material derived from such veterinary medicinal product should be disposed of in accordance with local requirements.</w:t>
      </w:r>
    </w:p>
    <w:p w:rsidR="007C5516" w:rsidRPr="007C5516" w:rsidRDefault="007C5516" w:rsidP="007C5516">
      <w:pPr>
        <w:ind w:right="-318"/>
        <w:rPr>
          <w:rFonts w:ascii="Arial" w:hAnsi="Arial" w:cs="Arial"/>
          <w:sz w:val="24"/>
          <w:szCs w:val="24"/>
        </w:rPr>
      </w:pPr>
    </w:p>
    <w:p w:rsidR="007C5516" w:rsidRPr="007C5516" w:rsidRDefault="007C5516" w:rsidP="007C5516">
      <w:pPr>
        <w:ind w:left="567" w:hanging="567"/>
        <w:rPr>
          <w:rFonts w:ascii="Arial" w:hAnsi="Arial" w:cs="Arial"/>
          <w:b/>
          <w:sz w:val="24"/>
          <w:szCs w:val="24"/>
        </w:rPr>
      </w:pPr>
      <w:r w:rsidRPr="007C5516">
        <w:rPr>
          <w:rFonts w:ascii="Arial" w:hAnsi="Arial" w:cs="Arial"/>
          <w:b/>
          <w:sz w:val="24"/>
          <w:szCs w:val="24"/>
        </w:rPr>
        <w:t>7.</w:t>
      </w:r>
      <w:r w:rsidRPr="007C5516">
        <w:rPr>
          <w:rFonts w:ascii="Arial" w:hAnsi="Arial" w:cs="Arial"/>
          <w:b/>
          <w:sz w:val="24"/>
          <w:szCs w:val="24"/>
        </w:rPr>
        <w:tab/>
        <w:t>MARKETING AUTHORISATION HOLDER</w:t>
      </w:r>
    </w:p>
    <w:p w:rsidR="007C5516" w:rsidRPr="007C5516" w:rsidRDefault="007C5516" w:rsidP="007C5516">
      <w:pPr>
        <w:pStyle w:val="BodyText"/>
        <w:rPr>
          <w:rFonts w:ascii="Arial" w:hAnsi="Arial" w:cs="Arial"/>
          <w:szCs w:val="24"/>
        </w:rPr>
      </w:pPr>
    </w:p>
    <w:p w:rsidR="00447B20" w:rsidRPr="00447B20" w:rsidRDefault="00447B20" w:rsidP="00447B20">
      <w:pPr>
        <w:rPr>
          <w:rFonts w:ascii="Arial" w:hAnsi="Arial" w:cs="Arial"/>
          <w:noProof/>
          <w:sz w:val="24"/>
          <w:szCs w:val="24"/>
        </w:rPr>
      </w:pPr>
      <w:r w:rsidRPr="00447B20">
        <w:rPr>
          <w:rFonts w:ascii="Arial" w:hAnsi="Arial" w:cs="Arial"/>
          <w:noProof/>
          <w:sz w:val="24"/>
          <w:szCs w:val="24"/>
        </w:rPr>
        <w:t xml:space="preserve">Boehringer Ingelheim Animal Health UK Limited </w:t>
      </w:r>
    </w:p>
    <w:p w:rsidR="00447B20" w:rsidRPr="00447B20" w:rsidRDefault="00447B20" w:rsidP="00447B20">
      <w:pPr>
        <w:rPr>
          <w:rFonts w:ascii="Arial" w:hAnsi="Arial" w:cs="Arial"/>
          <w:noProof/>
          <w:sz w:val="24"/>
          <w:szCs w:val="24"/>
        </w:rPr>
      </w:pPr>
      <w:r w:rsidRPr="00447B20">
        <w:rPr>
          <w:rFonts w:ascii="Arial" w:hAnsi="Arial" w:cs="Arial"/>
          <w:noProof/>
          <w:sz w:val="24"/>
          <w:szCs w:val="24"/>
        </w:rPr>
        <w:t xml:space="preserve">Ellesfield Avenue  </w:t>
      </w:r>
    </w:p>
    <w:p w:rsidR="00447B20" w:rsidRPr="00447B20" w:rsidRDefault="00447B20" w:rsidP="00447B20">
      <w:pPr>
        <w:rPr>
          <w:rFonts w:ascii="Arial" w:hAnsi="Arial" w:cs="Arial"/>
          <w:noProof/>
          <w:sz w:val="24"/>
          <w:szCs w:val="24"/>
        </w:rPr>
      </w:pPr>
      <w:r w:rsidRPr="00447B20">
        <w:rPr>
          <w:rFonts w:ascii="Arial" w:hAnsi="Arial" w:cs="Arial"/>
          <w:noProof/>
          <w:sz w:val="24"/>
          <w:szCs w:val="24"/>
        </w:rPr>
        <w:t>Bracknell</w:t>
      </w:r>
    </w:p>
    <w:p w:rsidR="00447B20" w:rsidRPr="00447B20" w:rsidRDefault="00447B20" w:rsidP="00447B20">
      <w:pPr>
        <w:rPr>
          <w:rFonts w:ascii="Arial" w:hAnsi="Arial" w:cs="Arial"/>
          <w:noProof/>
          <w:sz w:val="24"/>
          <w:szCs w:val="24"/>
        </w:rPr>
      </w:pPr>
      <w:r w:rsidRPr="00447B20">
        <w:rPr>
          <w:rFonts w:ascii="Arial" w:hAnsi="Arial" w:cs="Arial"/>
          <w:noProof/>
          <w:sz w:val="24"/>
          <w:szCs w:val="24"/>
        </w:rPr>
        <w:t xml:space="preserve">Berkshire </w:t>
      </w:r>
    </w:p>
    <w:p w:rsidR="00447B20" w:rsidRPr="00447B20" w:rsidRDefault="00447B20" w:rsidP="00447B20">
      <w:pPr>
        <w:rPr>
          <w:rFonts w:ascii="Arial" w:hAnsi="Arial" w:cs="Arial"/>
          <w:noProof/>
          <w:sz w:val="24"/>
          <w:szCs w:val="24"/>
        </w:rPr>
      </w:pPr>
      <w:r w:rsidRPr="00447B20">
        <w:rPr>
          <w:rFonts w:ascii="Arial" w:hAnsi="Arial" w:cs="Arial"/>
          <w:noProof/>
          <w:sz w:val="24"/>
          <w:szCs w:val="24"/>
        </w:rPr>
        <w:t xml:space="preserve">RG12 8YS  </w:t>
      </w:r>
    </w:p>
    <w:p w:rsidR="007C5516" w:rsidRDefault="00447B20" w:rsidP="00447B20">
      <w:pPr>
        <w:rPr>
          <w:rFonts w:ascii="Arial" w:hAnsi="Arial" w:cs="Arial"/>
          <w:noProof/>
          <w:sz w:val="24"/>
          <w:szCs w:val="24"/>
        </w:rPr>
      </w:pPr>
      <w:r w:rsidRPr="00447B20">
        <w:rPr>
          <w:rFonts w:ascii="Arial" w:hAnsi="Arial" w:cs="Arial"/>
          <w:noProof/>
          <w:sz w:val="24"/>
          <w:szCs w:val="24"/>
        </w:rPr>
        <w:t>United Kingdom</w:t>
      </w:r>
    </w:p>
    <w:p w:rsidR="00447B20" w:rsidRPr="007C5516" w:rsidRDefault="00447B20" w:rsidP="00447B20">
      <w:pPr>
        <w:rPr>
          <w:rFonts w:ascii="Arial" w:hAnsi="Arial" w:cs="Arial"/>
          <w:sz w:val="24"/>
          <w:szCs w:val="24"/>
        </w:rPr>
      </w:pPr>
    </w:p>
    <w:p w:rsidR="007C5516" w:rsidRPr="007C5516" w:rsidRDefault="007C5516" w:rsidP="007C5516">
      <w:pPr>
        <w:rPr>
          <w:rFonts w:ascii="Arial" w:hAnsi="Arial" w:cs="Arial"/>
          <w:sz w:val="24"/>
          <w:szCs w:val="24"/>
        </w:rPr>
      </w:pPr>
      <w:r w:rsidRPr="007C5516">
        <w:rPr>
          <w:rFonts w:ascii="Arial" w:hAnsi="Arial" w:cs="Arial"/>
          <w:b/>
          <w:sz w:val="24"/>
          <w:szCs w:val="24"/>
        </w:rPr>
        <w:t>8.</w:t>
      </w:r>
      <w:r w:rsidRPr="007C5516">
        <w:rPr>
          <w:rFonts w:ascii="Arial" w:hAnsi="Arial" w:cs="Arial"/>
          <w:b/>
          <w:sz w:val="24"/>
          <w:szCs w:val="24"/>
        </w:rPr>
        <w:tab/>
        <w:t>MARKETING AUTHORISATION NUMBER</w:t>
      </w:r>
    </w:p>
    <w:p w:rsidR="007C5516" w:rsidRPr="007C5516" w:rsidRDefault="007C5516" w:rsidP="007C5516">
      <w:pPr>
        <w:pStyle w:val="BodyText"/>
        <w:rPr>
          <w:rFonts w:ascii="Arial" w:hAnsi="Arial" w:cs="Arial"/>
          <w:szCs w:val="24"/>
        </w:rPr>
      </w:pPr>
    </w:p>
    <w:p w:rsidR="007C5516" w:rsidRDefault="00972064" w:rsidP="007C5516">
      <w:pPr>
        <w:pStyle w:val="BodyText"/>
        <w:rPr>
          <w:rFonts w:ascii="Arial" w:hAnsi="Arial" w:cs="Arial"/>
          <w:b w:val="0"/>
          <w:szCs w:val="24"/>
        </w:rPr>
      </w:pPr>
      <w:r>
        <w:rPr>
          <w:rFonts w:ascii="Arial" w:hAnsi="Arial" w:cs="Arial"/>
          <w:b w:val="0"/>
          <w:szCs w:val="24"/>
        </w:rPr>
        <w:t xml:space="preserve">Vm </w:t>
      </w:r>
      <w:r w:rsidRPr="00972064">
        <w:rPr>
          <w:rFonts w:ascii="Arial" w:hAnsi="Arial" w:cs="Arial"/>
          <w:b w:val="0"/>
          <w:szCs w:val="24"/>
        </w:rPr>
        <w:t>08327/4205</w:t>
      </w:r>
    </w:p>
    <w:p w:rsidR="007C5516" w:rsidRDefault="007C5516" w:rsidP="007C5516">
      <w:pPr>
        <w:rPr>
          <w:rFonts w:ascii="Arial" w:hAnsi="Arial" w:cs="Arial"/>
          <w:sz w:val="24"/>
          <w:szCs w:val="24"/>
        </w:rPr>
      </w:pPr>
    </w:p>
    <w:p w:rsidR="007C5516" w:rsidRPr="007C5516" w:rsidRDefault="007C5516" w:rsidP="007C5516">
      <w:pPr>
        <w:rPr>
          <w:rFonts w:ascii="Arial" w:hAnsi="Arial" w:cs="Arial"/>
          <w:sz w:val="24"/>
          <w:szCs w:val="24"/>
        </w:rPr>
      </w:pPr>
      <w:r w:rsidRPr="007C5516">
        <w:rPr>
          <w:rFonts w:ascii="Arial" w:hAnsi="Arial" w:cs="Arial"/>
          <w:b/>
          <w:sz w:val="24"/>
          <w:szCs w:val="24"/>
        </w:rPr>
        <w:t>9.</w:t>
      </w:r>
      <w:r w:rsidRPr="007C5516">
        <w:rPr>
          <w:rFonts w:ascii="Arial" w:hAnsi="Arial" w:cs="Arial"/>
          <w:b/>
          <w:sz w:val="24"/>
          <w:szCs w:val="24"/>
        </w:rPr>
        <w:tab/>
        <w:t>DATE OF FIRST AUTHORISATION</w:t>
      </w:r>
    </w:p>
    <w:p w:rsidR="007C5516" w:rsidRPr="007C5516" w:rsidRDefault="007C5516" w:rsidP="007C5516">
      <w:pPr>
        <w:pStyle w:val="BodyText"/>
        <w:rPr>
          <w:rFonts w:ascii="Arial" w:hAnsi="Arial" w:cs="Arial"/>
          <w:szCs w:val="24"/>
        </w:rPr>
      </w:pPr>
    </w:p>
    <w:p w:rsidR="007C5516" w:rsidRPr="00972064" w:rsidRDefault="00671BB4" w:rsidP="007C5516">
      <w:pPr>
        <w:rPr>
          <w:rFonts w:ascii="Arial" w:hAnsi="Arial" w:cs="Arial"/>
          <w:noProof/>
          <w:sz w:val="24"/>
          <w:szCs w:val="24"/>
        </w:rPr>
      </w:pPr>
      <w:r>
        <w:rPr>
          <w:rFonts w:ascii="Arial" w:hAnsi="Arial" w:cs="Arial"/>
          <w:noProof/>
          <w:sz w:val="24"/>
          <w:szCs w:val="24"/>
        </w:rPr>
        <w:t>0</w:t>
      </w:r>
      <w:r w:rsidR="00972064">
        <w:rPr>
          <w:rFonts w:ascii="Arial" w:hAnsi="Arial" w:cs="Arial"/>
          <w:noProof/>
          <w:sz w:val="24"/>
          <w:szCs w:val="24"/>
        </w:rPr>
        <w:t>9 January 2003</w:t>
      </w:r>
    </w:p>
    <w:p w:rsidR="00447B20" w:rsidRPr="007C5516" w:rsidRDefault="00447B20" w:rsidP="007C5516">
      <w:pPr>
        <w:rPr>
          <w:rFonts w:ascii="Arial" w:hAnsi="Arial" w:cs="Arial"/>
          <w:sz w:val="24"/>
          <w:szCs w:val="24"/>
        </w:rPr>
      </w:pPr>
    </w:p>
    <w:p w:rsidR="007C5516" w:rsidRPr="007C5516" w:rsidRDefault="007C5516" w:rsidP="007C5516">
      <w:pPr>
        <w:rPr>
          <w:rFonts w:ascii="Arial" w:hAnsi="Arial" w:cs="Arial"/>
          <w:b/>
          <w:sz w:val="24"/>
          <w:szCs w:val="24"/>
        </w:rPr>
      </w:pPr>
      <w:r w:rsidRPr="007C5516">
        <w:rPr>
          <w:rFonts w:ascii="Arial" w:hAnsi="Arial" w:cs="Arial"/>
          <w:b/>
          <w:sz w:val="24"/>
          <w:szCs w:val="24"/>
        </w:rPr>
        <w:t>10</w:t>
      </w:r>
      <w:r w:rsidR="00972064">
        <w:rPr>
          <w:rFonts w:ascii="Arial" w:hAnsi="Arial" w:cs="Arial"/>
          <w:b/>
          <w:sz w:val="24"/>
          <w:szCs w:val="24"/>
        </w:rPr>
        <w:t>.</w:t>
      </w:r>
      <w:r w:rsidRPr="007C5516">
        <w:rPr>
          <w:rFonts w:ascii="Arial" w:hAnsi="Arial" w:cs="Arial"/>
          <w:b/>
          <w:sz w:val="24"/>
          <w:szCs w:val="24"/>
        </w:rPr>
        <w:tab/>
        <w:t>DATE OF REVISION OF THE TEXT</w:t>
      </w:r>
    </w:p>
    <w:p w:rsidR="007C5516" w:rsidRPr="007C5516" w:rsidRDefault="007C5516" w:rsidP="007C5516">
      <w:pPr>
        <w:pStyle w:val="BodyText"/>
        <w:rPr>
          <w:rFonts w:ascii="Arial" w:hAnsi="Arial" w:cs="Arial"/>
          <w:szCs w:val="24"/>
        </w:rPr>
      </w:pPr>
    </w:p>
    <w:p w:rsidR="007C5516" w:rsidRDefault="00447B20" w:rsidP="00447B20">
      <w:pPr>
        <w:ind w:right="-318"/>
        <w:rPr>
          <w:rFonts w:ascii="Arial" w:hAnsi="Arial" w:cs="Arial"/>
          <w:noProof/>
          <w:sz w:val="24"/>
          <w:szCs w:val="24"/>
        </w:rPr>
      </w:pPr>
      <w:r>
        <w:rPr>
          <w:rFonts w:ascii="Arial" w:hAnsi="Arial" w:cs="Arial"/>
          <w:noProof/>
          <w:sz w:val="24"/>
          <w:szCs w:val="24"/>
        </w:rPr>
        <w:t>November 2018</w:t>
      </w:r>
    </w:p>
    <w:p w:rsidR="00671BB4" w:rsidRDefault="00671BB4" w:rsidP="00447B20">
      <w:pPr>
        <w:ind w:right="-318"/>
        <w:rPr>
          <w:rFonts w:ascii="Arial" w:hAnsi="Arial" w:cs="Arial"/>
          <w:noProof/>
          <w:sz w:val="24"/>
          <w:szCs w:val="24"/>
        </w:rPr>
      </w:pPr>
    </w:p>
    <w:p w:rsidR="00671BB4" w:rsidRDefault="00671BB4" w:rsidP="00447B20">
      <w:pPr>
        <w:ind w:right="-318"/>
        <w:rPr>
          <w:rFonts w:ascii="Arial" w:hAnsi="Arial" w:cs="Arial"/>
          <w:noProof/>
          <w:sz w:val="24"/>
          <w:szCs w:val="24"/>
        </w:rPr>
      </w:pPr>
    </w:p>
    <w:p w:rsidR="00671BB4" w:rsidRDefault="00671BB4" w:rsidP="00447B20">
      <w:pPr>
        <w:ind w:right="-318"/>
        <w:rPr>
          <w:rFonts w:ascii="Arial" w:hAnsi="Arial" w:cs="Arial"/>
          <w:noProof/>
          <w:sz w:val="24"/>
          <w:szCs w:val="24"/>
        </w:rPr>
      </w:pPr>
    </w:p>
    <w:p w:rsidR="00671BB4" w:rsidRDefault="00671BB4" w:rsidP="00671BB4">
      <w:pPr>
        <w:ind w:right="-318"/>
        <w:jc w:val="right"/>
        <w:rPr>
          <w:rFonts w:ascii="Arial" w:hAnsi="Arial" w:cs="Arial"/>
          <w:noProof/>
          <w:sz w:val="24"/>
          <w:szCs w:val="24"/>
        </w:rPr>
      </w:pPr>
      <w:r>
        <w:rPr>
          <w:rFonts w:ascii="Arial" w:hAnsi="Arial" w:cs="Arial"/>
          <w:noProof/>
          <w:sz w:val="24"/>
          <w:szCs w:val="24"/>
        </w:rPr>
        <w:t>Approved: 16 November 2018</w:t>
      </w:r>
    </w:p>
    <w:p w:rsidR="00671BB4" w:rsidRPr="007C5516" w:rsidRDefault="00671BB4" w:rsidP="00671BB4">
      <w:pPr>
        <w:ind w:right="-318"/>
        <w:jc w:val="right"/>
        <w:rPr>
          <w:rFonts w:ascii="Arial" w:hAnsi="Arial" w:cs="Arial"/>
          <w:b/>
          <w:sz w:val="24"/>
          <w:szCs w:val="24"/>
        </w:rPr>
      </w:pPr>
      <w:r>
        <w:rPr>
          <w:rFonts w:ascii="Segoe Print" w:hAnsi="Segoe Print" w:cs="Segoe Print"/>
          <w:b/>
          <w:noProof/>
          <w:sz w:val="22"/>
          <w:szCs w:val="22"/>
          <w:lang w:val="en-GB" w:eastAsia="en-GB"/>
        </w:rPr>
        <w:drawing>
          <wp:inline distT="0" distB="0" distL="0" distR="0">
            <wp:extent cx="1080770" cy="534670"/>
            <wp:effectExtent l="0" t="0" r="508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770" cy="534670"/>
                    </a:xfrm>
                    <a:prstGeom prst="rect">
                      <a:avLst/>
                    </a:prstGeom>
                    <a:noFill/>
                    <a:ln>
                      <a:noFill/>
                    </a:ln>
                  </pic:spPr>
                </pic:pic>
              </a:graphicData>
            </a:graphic>
          </wp:inline>
        </w:drawing>
      </w:r>
    </w:p>
    <w:p w:rsidR="00060EB8" w:rsidRPr="007C5516" w:rsidRDefault="00060EB8" w:rsidP="007C5516">
      <w:pPr>
        <w:rPr>
          <w:rFonts w:ascii="Arial" w:hAnsi="Arial" w:cs="Arial"/>
          <w:sz w:val="24"/>
          <w:szCs w:val="24"/>
        </w:rPr>
      </w:pPr>
    </w:p>
    <w:sectPr w:rsidR="00060EB8" w:rsidRPr="007C5516" w:rsidSect="00671BB4">
      <w:headerReference w:type="default" r:id="rId8"/>
      <w:footerReference w:type="default" r:id="rId9"/>
      <w:pgSz w:w="12240" w:h="15840" w:code="1"/>
      <w:pgMar w:top="1440" w:right="1183" w:bottom="993" w:left="1418" w:header="72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EE1" w:rsidRDefault="00BE6EE1">
      <w:r>
        <w:separator/>
      </w:r>
    </w:p>
  </w:endnote>
  <w:endnote w:type="continuationSeparator" w:id="0">
    <w:p w:rsidR="00BE6EE1" w:rsidRDefault="00BE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584541"/>
      <w:docPartObj>
        <w:docPartGallery w:val="Page Numbers (Bottom of Page)"/>
        <w:docPartUnique/>
      </w:docPartObj>
    </w:sdtPr>
    <w:sdtEndPr/>
    <w:sdtContent>
      <w:sdt>
        <w:sdtPr>
          <w:id w:val="-1669238322"/>
          <w:docPartObj>
            <w:docPartGallery w:val="Page Numbers (Top of Page)"/>
            <w:docPartUnique/>
          </w:docPartObj>
        </w:sdtPr>
        <w:sdtEndPr/>
        <w:sdtContent>
          <w:p w:rsidR="007C5516" w:rsidRDefault="007C5516">
            <w:pPr>
              <w:pStyle w:val="Footer"/>
              <w:jc w:val="center"/>
            </w:pPr>
            <w:r w:rsidRPr="007C5516">
              <w:rPr>
                <w:rFonts w:ascii="Arial" w:hAnsi="Arial" w:cs="Arial"/>
              </w:rPr>
              <w:t xml:space="preserve">Page </w:t>
            </w:r>
            <w:r w:rsidRPr="007C5516">
              <w:rPr>
                <w:rFonts w:ascii="Arial" w:hAnsi="Arial" w:cs="Arial"/>
                <w:b/>
                <w:bCs/>
              </w:rPr>
              <w:fldChar w:fldCharType="begin"/>
            </w:r>
            <w:r w:rsidRPr="007C5516">
              <w:rPr>
                <w:rFonts w:ascii="Arial" w:hAnsi="Arial" w:cs="Arial"/>
                <w:b/>
                <w:bCs/>
              </w:rPr>
              <w:instrText xml:space="preserve"> PAGE </w:instrText>
            </w:r>
            <w:r w:rsidRPr="007C5516">
              <w:rPr>
                <w:rFonts w:ascii="Arial" w:hAnsi="Arial" w:cs="Arial"/>
                <w:b/>
                <w:bCs/>
              </w:rPr>
              <w:fldChar w:fldCharType="separate"/>
            </w:r>
            <w:r w:rsidR="00671BB4">
              <w:rPr>
                <w:rFonts w:ascii="Arial" w:hAnsi="Arial" w:cs="Arial"/>
                <w:b/>
                <w:bCs/>
                <w:noProof/>
              </w:rPr>
              <w:t>6</w:t>
            </w:r>
            <w:r w:rsidRPr="007C5516">
              <w:rPr>
                <w:rFonts w:ascii="Arial" w:hAnsi="Arial" w:cs="Arial"/>
                <w:b/>
                <w:bCs/>
              </w:rPr>
              <w:fldChar w:fldCharType="end"/>
            </w:r>
            <w:r w:rsidRPr="007C5516">
              <w:rPr>
                <w:rFonts w:ascii="Arial" w:hAnsi="Arial" w:cs="Arial"/>
              </w:rPr>
              <w:t xml:space="preserve"> of </w:t>
            </w:r>
            <w:r w:rsidRPr="007C5516">
              <w:rPr>
                <w:rFonts w:ascii="Arial" w:hAnsi="Arial" w:cs="Arial"/>
                <w:b/>
                <w:bCs/>
              </w:rPr>
              <w:fldChar w:fldCharType="begin"/>
            </w:r>
            <w:r w:rsidRPr="007C5516">
              <w:rPr>
                <w:rFonts w:ascii="Arial" w:hAnsi="Arial" w:cs="Arial"/>
                <w:b/>
                <w:bCs/>
              </w:rPr>
              <w:instrText xml:space="preserve"> NUMPAGES  </w:instrText>
            </w:r>
            <w:r w:rsidRPr="007C5516">
              <w:rPr>
                <w:rFonts w:ascii="Arial" w:hAnsi="Arial" w:cs="Arial"/>
                <w:b/>
                <w:bCs/>
              </w:rPr>
              <w:fldChar w:fldCharType="separate"/>
            </w:r>
            <w:r w:rsidR="00671BB4">
              <w:rPr>
                <w:rFonts w:ascii="Arial" w:hAnsi="Arial" w:cs="Arial"/>
                <w:b/>
                <w:bCs/>
                <w:noProof/>
              </w:rPr>
              <w:t>6</w:t>
            </w:r>
            <w:r w:rsidRPr="007C5516">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EE1" w:rsidRDefault="00BE6EE1">
      <w:r>
        <w:separator/>
      </w:r>
    </w:p>
  </w:footnote>
  <w:footnote w:type="continuationSeparator" w:id="0">
    <w:p w:rsidR="00BE6EE1" w:rsidRDefault="00BE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516" w:rsidRDefault="008A2B47" w:rsidP="007C5516">
    <w:pPr>
      <w:pStyle w:val="Header"/>
      <w:jc w:val="right"/>
      <w:rPr>
        <w:rFonts w:cs="Arial"/>
        <w:color w:val="000000"/>
        <w:sz w:val="20"/>
        <w:lang w:val="en-GB"/>
      </w:rPr>
    </w:pPr>
    <w:r>
      <w:rPr>
        <w:rFonts w:cs="Arial"/>
        <w:color w:val="000000"/>
        <w:sz w:val="20"/>
        <w:lang w:val="en-GB"/>
      </w:rPr>
      <w:t>Revised: November 2018</w:t>
    </w:r>
  </w:p>
  <w:p w:rsidR="008A2B47" w:rsidRPr="00960241" w:rsidRDefault="008A2B47" w:rsidP="007C5516">
    <w:pPr>
      <w:pStyle w:val="Header"/>
      <w:jc w:val="right"/>
      <w:rPr>
        <w:rFonts w:cs="Arial"/>
        <w:color w:val="000000"/>
        <w:sz w:val="20"/>
        <w:lang w:val="en-GB"/>
      </w:rPr>
    </w:pPr>
    <w:r>
      <w:rPr>
        <w:rFonts w:cs="Arial"/>
        <w:color w:val="000000"/>
        <w:sz w:val="20"/>
        <w:lang w:val="en-GB"/>
      </w:rPr>
      <w:t>AN: 01034/2018</w:t>
    </w:r>
  </w:p>
  <w:p w:rsidR="00960241" w:rsidRPr="0060721F" w:rsidRDefault="00960241" w:rsidP="00607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3DE6"/>
    <w:multiLevelType w:val="multilevel"/>
    <w:tmpl w:val="6F4AF6F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BE4513"/>
    <w:multiLevelType w:val="singleLevel"/>
    <w:tmpl w:val="2C006DEA"/>
    <w:lvl w:ilvl="0">
      <w:start w:val="2"/>
      <w:numFmt w:val="bullet"/>
      <w:lvlText w:val="-"/>
      <w:lvlJc w:val="left"/>
      <w:pPr>
        <w:tabs>
          <w:tab w:val="num" w:pos="360"/>
        </w:tabs>
        <w:ind w:left="360" w:hanging="360"/>
      </w:pPr>
      <w:rPr>
        <w:rFonts w:hint="default"/>
      </w:rPr>
    </w:lvl>
  </w:abstractNum>
  <w:abstractNum w:abstractNumId="2" w15:restartNumberingAfterBreak="0">
    <w:nsid w:val="2C307562"/>
    <w:multiLevelType w:val="multilevel"/>
    <w:tmpl w:val="71FEBEE6"/>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4531B68"/>
    <w:multiLevelType w:val="singleLevel"/>
    <w:tmpl w:val="2C006DEA"/>
    <w:lvl w:ilvl="0">
      <w:start w:val="4"/>
      <w:numFmt w:val="bullet"/>
      <w:lvlText w:val="-"/>
      <w:lvlJc w:val="left"/>
      <w:pPr>
        <w:tabs>
          <w:tab w:val="num" w:pos="360"/>
        </w:tabs>
        <w:ind w:left="360" w:hanging="360"/>
      </w:pPr>
      <w:rPr>
        <w:rFonts w:hint="default"/>
      </w:rPr>
    </w:lvl>
  </w:abstractNum>
  <w:abstractNum w:abstractNumId="4" w15:restartNumberingAfterBreak="0">
    <w:nsid w:val="37F0232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6831B0"/>
    <w:multiLevelType w:val="singleLevel"/>
    <w:tmpl w:val="2C006DEA"/>
    <w:lvl w:ilvl="0">
      <w:start w:val="4"/>
      <w:numFmt w:val="bullet"/>
      <w:lvlText w:val="-"/>
      <w:lvlJc w:val="left"/>
      <w:pPr>
        <w:tabs>
          <w:tab w:val="num" w:pos="360"/>
        </w:tabs>
        <w:ind w:left="360" w:hanging="360"/>
      </w:pPr>
      <w:rPr>
        <w:rFonts w:hint="default"/>
      </w:rPr>
    </w:lvl>
  </w:abstractNum>
  <w:abstractNum w:abstractNumId="6" w15:restartNumberingAfterBreak="0">
    <w:nsid w:val="45033DE7"/>
    <w:multiLevelType w:val="singleLevel"/>
    <w:tmpl w:val="5BAC3210"/>
    <w:lvl w:ilvl="0">
      <w:start w:val="1"/>
      <w:numFmt w:val="bullet"/>
      <w:lvlText w:val=""/>
      <w:lvlJc w:val="left"/>
      <w:pPr>
        <w:tabs>
          <w:tab w:val="num" w:pos="360"/>
        </w:tabs>
        <w:ind w:left="288" w:hanging="288"/>
      </w:pPr>
      <w:rPr>
        <w:rFonts w:ascii="Symbol" w:hAnsi="Symbol" w:hint="default"/>
      </w:rPr>
    </w:lvl>
  </w:abstractNum>
  <w:abstractNum w:abstractNumId="7" w15:restartNumberingAfterBreak="0">
    <w:nsid w:val="477805FB"/>
    <w:multiLevelType w:val="multilevel"/>
    <w:tmpl w:val="41BE6FD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62291A4F"/>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7382E42"/>
    <w:multiLevelType w:val="singleLevel"/>
    <w:tmpl w:val="5BAC3210"/>
    <w:lvl w:ilvl="0">
      <w:start w:val="1"/>
      <w:numFmt w:val="bullet"/>
      <w:lvlText w:val=""/>
      <w:lvlJc w:val="left"/>
      <w:pPr>
        <w:tabs>
          <w:tab w:val="num" w:pos="360"/>
        </w:tabs>
        <w:ind w:left="288" w:hanging="288"/>
      </w:pPr>
      <w:rPr>
        <w:rFonts w:ascii="Symbol" w:hAnsi="Symbol" w:hint="default"/>
      </w:rPr>
    </w:lvl>
  </w:abstractNum>
  <w:abstractNum w:abstractNumId="10" w15:restartNumberingAfterBreak="0">
    <w:nsid w:val="6DCF5ACE"/>
    <w:multiLevelType w:val="singleLevel"/>
    <w:tmpl w:val="5BAC3210"/>
    <w:lvl w:ilvl="0">
      <w:start w:val="1"/>
      <w:numFmt w:val="bullet"/>
      <w:lvlText w:val=""/>
      <w:lvlJc w:val="left"/>
      <w:pPr>
        <w:tabs>
          <w:tab w:val="num" w:pos="360"/>
        </w:tabs>
        <w:ind w:left="288" w:hanging="288"/>
      </w:pPr>
      <w:rPr>
        <w:rFonts w:ascii="Symbol" w:hAnsi="Symbol" w:hint="default"/>
      </w:rPr>
    </w:lvl>
  </w:abstractNum>
  <w:abstractNum w:abstractNumId="11" w15:restartNumberingAfterBreak="0">
    <w:nsid w:val="7A781AFB"/>
    <w:multiLevelType w:val="multilevel"/>
    <w:tmpl w:val="71FEBEE6"/>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0"/>
  </w:num>
  <w:num w:numId="3">
    <w:abstractNumId w:val="9"/>
  </w:num>
  <w:num w:numId="4">
    <w:abstractNumId w:val="6"/>
  </w:num>
  <w:num w:numId="5">
    <w:abstractNumId w:val="8"/>
  </w:num>
  <w:num w:numId="6">
    <w:abstractNumId w:val="2"/>
  </w:num>
  <w:num w:numId="7">
    <w:abstractNumId w:val="11"/>
  </w:num>
  <w:num w:numId="8">
    <w:abstractNumId w:val="4"/>
  </w:num>
  <w:num w:numId="9">
    <w:abstractNumId w:val="3"/>
  </w:num>
  <w:num w:numId="10">
    <w:abstractNumId w:val="1"/>
  </w:num>
  <w:num w:numId="11">
    <w:abstractNumId w:val="5"/>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EB8"/>
    <w:rsid w:val="00010663"/>
    <w:rsid w:val="00060EB8"/>
    <w:rsid w:val="00070A60"/>
    <w:rsid w:val="000C2EC3"/>
    <w:rsid w:val="001D7FA3"/>
    <w:rsid w:val="0020751B"/>
    <w:rsid w:val="002F122D"/>
    <w:rsid w:val="003F365E"/>
    <w:rsid w:val="00447B20"/>
    <w:rsid w:val="004C1DD9"/>
    <w:rsid w:val="00505B52"/>
    <w:rsid w:val="00575407"/>
    <w:rsid w:val="0057610B"/>
    <w:rsid w:val="00606BAC"/>
    <w:rsid w:val="0060721F"/>
    <w:rsid w:val="00671BB4"/>
    <w:rsid w:val="006D7162"/>
    <w:rsid w:val="006E306E"/>
    <w:rsid w:val="00703CBE"/>
    <w:rsid w:val="00706C63"/>
    <w:rsid w:val="007C5516"/>
    <w:rsid w:val="00827629"/>
    <w:rsid w:val="008A2B47"/>
    <w:rsid w:val="008C4154"/>
    <w:rsid w:val="008E624A"/>
    <w:rsid w:val="00960241"/>
    <w:rsid w:val="00972064"/>
    <w:rsid w:val="00A62B39"/>
    <w:rsid w:val="00B00A1A"/>
    <w:rsid w:val="00B87B22"/>
    <w:rsid w:val="00BB5A7F"/>
    <w:rsid w:val="00BE6EE1"/>
    <w:rsid w:val="00C91B59"/>
    <w:rsid w:val="00C97A65"/>
    <w:rsid w:val="00CF3056"/>
    <w:rsid w:val="00D81C84"/>
    <w:rsid w:val="00DA5EF0"/>
    <w:rsid w:val="00DC4CE7"/>
    <w:rsid w:val="00E0333A"/>
    <w:rsid w:val="00E23FF7"/>
    <w:rsid w:val="00EB57F9"/>
    <w:rsid w:val="00ED3881"/>
    <w:rsid w:val="00F42A6F"/>
    <w:rsid w:val="00F77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5:docId w15:val="{25A5BC74-DE9C-4849-8738-4DC3BED7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tabs>
        <w:tab w:val="left" w:pos="720"/>
      </w:tabs>
      <w:jc w:val="both"/>
      <w:outlineLvl w:val="2"/>
    </w:pPr>
    <w:rPr>
      <w:b/>
      <w:i/>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tabs>
        <w:tab w:val="left" w:pos="720"/>
      </w:tabs>
      <w:jc w:val="both"/>
      <w:outlineLvl w:val="4"/>
    </w:pPr>
    <w:rPr>
      <w:sz w:val="24"/>
      <w:u w:val="single"/>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outlineLvl w:val="6"/>
    </w:pPr>
    <w:rPr>
      <w:rFonts w:ascii="Verdana" w:hAnsi="Verdana"/>
      <w:b/>
      <w:bCs/>
      <w:lang w:val="en-GB"/>
    </w:rPr>
  </w:style>
  <w:style w:type="paragraph" w:styleId="Heading8">
    <w:name w:val="heading 8"/>
    <w:basedOn w:val="Normal"/>
    <w:next w:val="Normal"/>
    <w:qFormat/>
    <w:pPr>
      <w:keepNext/>
      <w:tabs>
        <w:tab w:val="left" w:pos="720"/>
      </w:tabs>
      <w:jc w:val="both"/>
      <w:outlineLvl w:val="7"/>
    </w:pPr>
    <w:rPr>
      <w:rFonts w:ascii="Verdana" w:hAnsi="Verdana"/>
      <w:i/>
      <w:iCs/>
      <w:lang w:val="en-GB"/>
    </w:rPr>
  </w:style>
  <w:style w:type="paragraph" w:styleId="Heading9">
    <w:name w:val="heading 9"/>
    <w:basedOn w:val="Normal"/>
    <w:next w:val="Normal"/>
    <w:qFormat/>
    <w:pPr>
      <w:keepNext/>
      <w:jc w:val="both"/>
      <w:outlineLvl w:val="8"/>
    </w:pPr>
    <w:rPr>
      <w:b/>
      <w:sz w:val="24"/>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2790" w:hanging="1170"/>
      <w:jc w:val="both"/>
    </w:pPr>
    <w:rPr>
      <w:b/>
      <w:snapToGrid w:val="0"/>
      <w:sz w:val="24"/>
    </w:rPr>
  </w:style>
  <w:style w:type="paragraph" w:styleId="Header">
    <w:name w:val="header"/>
    <w:basedOn w:val="Normal"/>
    <w:pPr>
      <w:tabs>
        <w:tab w:val="center" w:pos="4320"/>
        <w:tab w:val="right" w:pos="8640"/>
      </w:tabs>
    </w:pPr>
    <w:rPr>
      <w:rFonts w:ascii="Arial" w:hAnsi="Arial"/>
      <w:sz w:val="22"/>
      <w:lang w:val="en-AU"/>
    </w:rPr>
  </w:style>
  <w:style w:type="character" w:styleId="PageNumber">
    <w:name w:val="page number"/>
    <w:basedOn w:val="DefaultParagraphFont"/>
  </w:style>
  <w:style w:type="paragraph" w:customStyle="1" w:styleId="Normal1">
    <w:name w:val="Normal 1"/>
    <w:basedOn w:val="Normal"/>
    <w:pPr>
      <w:tabs>
        <w:tab w:val="right" w:pos="7229"/>
        <w:tab w:val="left" w:pos="7513"/>
      </w:tabs>
      <w:suppressAutoHyphens/>
      <w:ind w:right="2693"/>
    </w:pPr>
    <w:rPr>
      <w:rFonts w:ascii="Arial" w:hAnsi="Arial"/>
      <w:spacing w:val="-2"/>
      <w:sz w:val="22"/>
      <w:lang w:val="en-AU"/>
    </w:r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rPr>
      <w:rFonts w:ascii="Courier New" w:hAnsi="Courier New"/>
      <w:lang w:val="en-GB"/>
    </w:rPr>
  </w:style>
  <w:style w:type="paragraph" w:styleId="BodyTextIndent2">
    <w:name w:val="Body Text Indent 2"/>
    <w:basedOn w:val="Normal"/>
    <w:pPr>
      <w:tabs>
        <w:tab w:val="left" w:pos="720"/>
      </w:tabs>
      <w:ind w:left="720" w:hanging="720"/>
      <w:jc w:val="both"/>
    </w:pPr>
    <w:rPr>
      <w:b/>
      <w:sz w:val="24"/>
    </w:rPr>
  </w:style>
  <w:style w:type="paragraph" w:styleId="BodyText">
    <w:name w:val="Body Text"/>
    <w:basedOn w:val="Normal"/>
    <w:link w:val="BodyTextChar"/>
    <w:pPr>
      <w:tabs>
        <w:tab w:val="left" w:pos="720"/>
      </w:tabs>
      <w:jc w:val="both"/>
    </w:pPr>
    <w:rPr>
      <w:b/>
      <w:sz w:val="24"/>
    </w:rPr>
  </w:style>
  <w:style w:type="paragraph" w:styleId="BodyTextIndent3">
    <w:name w:val="Body Text Indent 3"/>
    <w:basedOn w:val="Normal"/>
    <w:pPr>
      <w:tabs>
        <w:tab w:val="left" w:pos="360"/>
      </w:tabs>
      <w:ind w:left="360"/>
      <w:jc w:val="both"/>
    </w:pPr>
    <w:rPr>
      <w:b/>
      <w:i/>
      <w:sz w:val="24"/>
    </w:rPr>
  </w:style>
  <w:style w:type="paragraph" w:styleId="BodyText2">
    <w:name w:val="Body Text 2"/>
    <w:basedOn w:val="Normal"/>
    <w:pPr>
      <w:tabs>
        <w:tab w:val="left" w:pos="720"/>
      </w:tabs>
      <w:jc w:val="both"/>
    </w:pPr>
    <w:rPr>
      <w:b/>
      <w:i/>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3">
    <w:name w:val="Body Text 3"/>
    <w:basedOn w:val="Normal"/>
    <w:pPr>
      <w:tabs>
        <w:tab w:val="left" w:pos="720"/>
      </w:tabs>
      <w:jc w:val="both"/>
    </w:pPr>
    <w:rPr>
      <w:sz w:val="24"/>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bCs/>
    </w:rPr>
  </w:style>
  <w:style w:type="paragraph" w:styleId="Title">
    <w:name w:val="Title"/>
    <w:basedOn w:val="Normal"/>
    <w:qFormat/>
    <w:rsid w:val="00060EB8"/>
    <w:pPr>
      <w:jc w:val="center"/>
    </w:pPr>
    <w:rPr>
      <w:rFonts w:ascii="Verdana" w:hAnsi="Verdana"/>
      <w:b/>
      <w:sz w:val="24"/>
      <w:u w:val="single"/>
      <w:lang w:val="en-GB"/>
    </w:rPr>
  </w:style>
  <w:style w:type="paragraph" w:styleId="BalloonText">
    <w:name w:val="Balloon Text"/>
    <w:basedOn w:val="Normal"/>
    <w:semiHidden/>
    <w:rsid w:val="00060EB8"/>
    <w:rPr>
      <w:rFonts w:ascii="Tahoma" w:hAnsi="Tahoma" w:cs="Tahoma"/>
      <w:sz w:val="16"/>
      <w:szCs w:val="16"/>
    </w:rPr>
  </w:style>
  <w:style w:type="character" w:customStyle="1" w:styleId="FooterChar">
    <w:name w:val="Footer Char"/>
    <w:link w:val="Footer"/>
    <w:uiPriority w:val="99"/>
    <w:rsid w:val="001D7FA3"/>
    <w:rPr>
      <w:lang w:val="en-US" w:eastAsia="en-US"/>
    </w:rPr>
  </w:style>
  <w:style w:type="character" w:customStyle="1" w:styleId="BodyTextChar">
    <w:name w:val="Body Text Char"/>
    <w:link w:val="BodyText"/>
    <w:rsid w:val="0060721F"/>
    <w:rPr>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81524">
      <w:bodyDiv w:val="1"/>
      <w:marLeft w:val="0"/>
      <w:marRight w:val="0"/>
      <w:marTop w:val="0"/>
      <w:marBottom w:val="0"/>
      <w:divBdr>
        <w:top w:val="none" w:sz="0" w:space="0" w:color="auto"/>
        <w:left w:val="none" w:sz="0" w:space="0" w:color="auto"/>
        <w:bottom w:val="none" w:sz="0" w:space="0" w:color="auto"/>
        <w:right w:val="none" w:sz="0" w:space="0" w:color="auto"/>
      </w:divBdr>
    </w:div>
    <w:div w:id="2364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1392</Words>
  <Characters>7592</Characters>
  <Application>Microsoft Office Word</Application>
  <DocSecurity>0</DocSecurity>
  <Lines>252</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Manager/>
  <Company/>
  <LinksUpToDate>false</LinksUpToDate>
  <CharactersWithSpaces>8907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Joel Elezaj</cp:lastModifiedBy>
  <cp:revision>7</cp:revision>
  <cp:lastPrinted>2013-05-02T10:43:00Z</cp:lastPrinted>
  <dcterms:created xsi:type="dcterms:W3CDTF">2018-11-13T15:49:00Z</dcterms:created>
  <dcterms:modified xsi:type="dcterms:W3CDTF">2020-05-28T15:17:00Z</dcterms:modified>
  <cp:category/>
</cp:coreProperties>
</file>